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260" w:rsidRPr="00105289" w:rsidRDefault="00817260" w:rsidP="00817260">
      <w:pPr>
        <w:jc w:val="right"/>
        <w:rPr>
          <w:sz w:val="20"/>
          <w:szCs w:val="20"/>
          <w:lang w:val="ro-RO"/>
        </w:rPr>
      </w:pPr>
      <w:r w:rsidRPr="00105289">
        <w:rPr>
          <w:sz w:val="20"/>
          <w:szCs w:val="20"/>
          <w:lang w:val="ro-RO"/>
        </w:rPr>
        <w:t xml:space="preserve">Anexă la decizia </w:t>
      </w:r>
    </w:p>
    <w:p w:rsidR="00817260" w:rsidRPr="00105289" w:rsidRDefault="00817260" w:rsidP="00817260">
      <w:pPr>
        <w:jc w:val="right"/>
        <w:rPr>
          <w:sz w:val="20"/>
          <w:szCs w:val="20"/>
          <w:lang w:val="ro-RO"/>
        </w:rPr>
      </w:pPr>
      <w:r w:rsidRPr="00105289">
        <w:rPr>
          <w:sz w:val="20"/>
          <w:szCs w:val="20"/>
          <w:lang w:val="ro-RO"/>
        </w:rPr>
        <w:t xml:space="preserve">Nr. </w:t>
      </w:r>
      <w:r>
        <w:rPr>
          <w:sz w:val="20"/>
          <w:szCs w:val="20"/>
          <w:lang w:val="ro-RO"/>
        </w:rPr>
        <w:t>4/</w:t>
      </w:r>
      <w:r w:rsidRPr="00105289">
        <w:rPr>
          <w:sz w:val="20"/>
          <w:szCs w:val="20"/>
          <w:lang w:val="ro-RO"/>
        </w:rPr>
        <w:t xml:space="preserve">   din </w:t>
      </w:r>
      <w:r>
        <w:rPr>
          <w:sz w:val="20"/>
          <w:szCs w:val="20"/>
          <w:lang w:val="ro-RO"/>
        </w:rPr>
        <w:t xml:space="preserve">  09.</w:t>
      </w:r>
      <w:r w:rsidRPr="00105289">
        <w:rPr>
          <w:sz w:val="20"/>
          <w:szCs w:val="20"/>
          <w:lang w:val="ro-RO"/>
        </w:rPr>
        <w:t xml:space="preserve"> 202</w:t>
      </w:r>
      <w:r>
        <w:rPr>
          <w:sz w:val="20"/>
          <w:szCs w:val="20"/>
          <w:lang w:val="ro-RO"/>
        </w:rPr>
        <w:t>1</w:t>
      </w:r>
      <w:r w:rsidRPr="00105289">
        <w:rPr>
          <w:sz w:val="20"/>
          <w:szCs w:val="20"/>
          <w:lang w:val="ro-RO"/>
        </w:rPr>
        <w:t xml:space="preserve"> </w:t>
      </w:r>
    </w:p>
    <w:p w:rsidR="00817260" w:rsidRPr="006D1932" w:rsidRDefault="00817260" w:rsidP="00817260">
      <w:pPr>
        <w:rPr>
          <w:b/>
          <w:lang w:val="ro-RO"/>
        </w:rPr>
      </w:pPr>
    </w:p>
    <w:p w:rsidR="00817260" w:rsidRPr="00CC0C79" w:rsidRDefault="00817260" w:rsidP="00817260">
      <w:pPr>
        <w:shd w:val="clear" w:color="auto" w:fill="FFFFFF"/>
        <w:ind w:firstLine="540"/>
        <w:jc w:val="center"/>
        <w:rPr>
          <w:sz w:val="28"/>
          <w:szCs w:val="28"/>
          <w:lang w:val="ro-RO" w:eastAsia="ro-RO"/>
        </w:rPr>
      </w:pPr>
      <w:r w:rsidRPr="00CC0C79">
        <w:rPr>
          <w:sz w:val="28"/>
          <w:szCs w:val="28"/>
          <w:lang w:val="ro-RO" w:eastAsia="ro-RO"/>
        </w:rPr>
        <w:t>NOTA INFORMATIVĂ</w:t>
      </w:r>
    </w:p>
    <w:p w:rsidR="00817260" w:rsidRPr="00CC0C79" w:rsidRDefault="00817260" w:rsidP="00817260">
      <w:pPr>
        <w:spacing w:line="276" w:lineRule="auto"/>
        <w:rPr>
          <w:sz w:val="28"/>
          <w:szCs w:val="28"/>
          <w:lang w:val="ro-RO"/>
        </w:rPr>
      </w:pPr>
      <w:r w:rsidRPr="00CC0C79">
        <w:rPr>
          <w:szCs w:val="28"/>
          <w:lang w:val="ro-RO"/>
        </w:rPr>
        <w:t xml:space="preserve">la proiectul de decizie: </w:t>
      </w:r>
      <w:r w:rsidRPr="00CC0C79">
        <w:rPr>
          <w:sz w:val="28"/>
          <w:szCs w:val="28"/>
          <w:lang w:val="ro-RO"/>
        </w:rPr>
        <w:t>„</w:t>
      </w:r>
      <w:r w:rsidRPr="00CC0C79">
        <w:rPr>
          <w:rFonts w:eastAsiaTheme="minorHAnsi"/>
          <w:lang w:val="ro-RO"/>
        </w:rPr>
        <w:t>Cu privire la aprobarea Strategiei de dezvoltare socio-economică a raionului Telenești pe perioada 2021-2027</w:t>
      </w:r>
      <w:r w:rsidRPr="00CC0C79">
        <w:rPr>
          <w:sz w:val="28"/>
          <w:szCs w:val="28"/>
          <w:lang w:val="ro-RO"/>
        </w:rPr>
        <w:t xml:space="preserve">”. </w:t>
      </w:r>
    </w:p>
    <w:p w:rsidR="00817260" w:rsidRPr="00CC0C79" w:rsidRDefault="00817260" w:rsidP="00817260">
      <w:pPr>
        <w:shd w:val="clear" w:color="auto" w:fill="FFFFFF"/>
        <w:ind w:firstLine="540"/>
        <w:jc w:val="both"/>
        <w:rPr>
          <w:sz w:val="28"/>
          <w:szCs w:val="28"/>
          <w:lang w:val="ro-RO" w:eastAsia="ro-RO"/>
        </w:rPr>
      </w:pPr>
    </w:p>
    <w:p w:rsidR="00817260" w:rsidRPr="00CC0C79" w:rsidRDefault="00817260" w:rsidP="00817260">
      <w:pPr>
        <w:shd w:val="clear" w:color="auto" w:fill="FFFFFF"/>
        <w:ind w:firstLine="540"/>
        <w:jc w:val="both"/>
        <w:rPr>
          <w:b/>
          <w:lang w:val="ro-RO" w:eastAsia="ro-RO"/>
        </w:rPr>
      </w:pPr>
      <w:r w:rsidRPr="00CC0C79">
        <w:rPr>
          <w:b/>
          <w:lang w:val="ro-RO" w:eastAsia="ro-RO"/>
        </w:rPr>
        <w:t>l. Denumirea autorului și după caz, a participanților la elaborarea proiectului: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17260" w:rsidRPr="00842E0A" w:rsidTr="008604C1">
        <w:trPr>
          <w:trHeight w:val="264"/>
        </w:trPr>
        <w:tc>
          <w:tcPr>
            <w:tcW w:w="9781" w:type="dxa"/>
          </w:tcPr>
          <w:p w:rsidR="00817260" w:rsidRPr="00CC0C79" w:rsidRDefault="00817260" w:rsidP="008604C1">
            <w:pPr>
              <w:shd w:val="clear" w:color="auto" w:fill="FFFFFF"/>
              <w:spacing w:before="100" w:beforeAutospacing="1" w:after="100" w:afterAutospacing="1"/>
              <w:ind w:firstLine="540"/>
              <w:jc w:val="both"/>
              <w:rPr>
                <w:lang w:val="ro-RO" w:eastAsia="ro-RO"/>
              </w:rPr>
            </w:pPr>
            <w:r w:rsidRPr="00CC0C79">
              <w:rPr>
                <w:lang w:val="ro-RO" w:eastAsia="ro-RO"/>
              </w:rPr>
              <w:t xml:space="preserve">șefii  de direcție   și  secții  a  consiliului   raional,  grupul  de lucru format  prin  dispoziția   președintelui  raionului nr.   din 14   octombrie </w:t>
            </w:r>
          </w:p>
        </w:tc>
      </w:tr>
    </w:tbl>
    <w:p w:rsidR="00817260" w:rsidRPr="00CC0C79" w:rsidRDefault="00817260" w:rsidP="00817260">
      <w:pPr>
        <w:shd w:val="clear" w:color="auto" w:fill="FFFFFF"/>
        <w:ind w:firstLine="540"/>
        <w:jc w:val="both"/>
        <w:rPr>
          <w:b/>
          <w:lang w:val="ro-RO" w:eastAsia="ro-RO"/>
        </w:rPr>
      </w:pPr>
    </w:p>
    <w:p w:rsidR="00817260" w:rsidRPr="00CC0C79" w:rsidRDefault="00817260" w:rsidP="00817260">
      <w:pPr>
        <w:shd w:val="clear" w:color="auto" w:fill="FFFFFF"/>
        <w:ind w:firstLine="540"/>
        <w:jc w:val="both"/>
        <w:rPr>
          <w:b/>
          <w:lang w:val="ro-RO" w:eastAsia="ro-RO"/>
        </w:rPr>
      </w:pPr>
      <w:r w:rsidRPr="00CC0C79">
        <w:rPr>
          <w:b/>
          <w:lang w:val="ro-RO" w:eastAsia="ro-RO"/>
        </w:rPr>
        <w:t xml:space="preserve"> 2. Condițiile ce au impus elaborarea proiectului de decizie și finalitățile urmărite: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17260" w:rsidRPr="00842E0A" w:rsidTr="008604C1">
        <w:trPr>
          <w:trHeight w:val="243"/>
        </w:trPr>
        <w:tc>
          <w:tcPr>
            <w:tcW w:w="9781" w:type="dxa"/>
          </w:tcPr>
          <w:p w:rsidR="00817260" w:rsidRDefault="00817260" w:rsidP="008604C1">
            <w:pPr>
              <w:shd w:val="clear" w:color="auto" w:fill="FFFFFF"/>
              <w:spacing w:after="120"/>
              <w:ind w:firstLine="540"/>
              <w:jc w:val="both"/>
              <w:rPr>
                <w:lang w:val="ro-RO" w:eastAsia="ro-RO"/>
              </w:rPr>
            </w:pPr>
            <w:r w:rsidRPr="00CC0C79">
              <w:rPr>
                <w:lang w:val="ro-RO" w:eastAsia="ro-RO"/>
              </w:rPr>
              <w:t xml:space="preserve">Proiectul deciziei vine </w:t>
            </w:r>
            <w:r>
              <w:rPr>
                <w:lang w:val="ro-RO" w:eastAsia="ro-RO"/>
              </w:rPr>
              <w:t>î</w:t>
            </w:r>
            <w:r w:rsidRPr="00CC0C79">
              <w:rPr>
                <w:lang w:val="ro-RO" w:eastAsia="ro-RO"/>
              </w:rPr>
              <w:t xml:space="preserve">n executarea deciziei CR nr. 2/10 din 29 mai 2020, Cu privire  la inițierea  elaborării Strategiei. Aprobarea strategiei are ca </w:t>
            </w:r>
            <w:bookmarkStart w:id="0" w:name="_GoBack"/>
            <w:bookmarkEnd w:id="0"/>
            <w:r w:rsidRPr="00CC0C79">
              <w:rPr>
                <w:lang w:val="ro-RO" w:eastAsia="ro-RO"/>
              </w:rPr>
              <w:t>urmare dezvoltarea raionului într-un mod controlat, abordând cele trei dimensiuni ale conceptului dezvoltării durabile şi anume: dimensiunea ecologică, dimensiunea economică şi cea socială, orientată spre îmbunătăţirea continuă a calităţii vieţii oamenilor şi a relaţiilor dintre ei în armonie cu mediul natural, bazându-se pe studii şi cercetări, precum şi pe documentare de natură demografică, economică, statistică şi de protecţia mediului.</w:t>
            </w:r>
          </w:p>
          <w:p w:rsidR="00817260" w:rsidRPr="00CC0C79" w:rsidRDefault="00817260" w:rsidP="008604C1">
            <w:pPr>
              <w:shd w:val="clear" w:color="auto" w:fill="FFFFFF"/>
              <w:ind w:firstLine="540"/>
              <w:jc w:val="both"/>
              <w:rPr>
                <w:rFonts w:eastAsiaTheme="minorHAnsi"/>
                <w:lang w:val="ro-RO"/>
              </w:rPr>
            </w:pPr>
            <w:r w:rsidRPr="00CC0C79">
              <w:rPr>
                <w:rFonts w:eastAsiaTheme="minorHAnsi"/>
                <w:lang w:val="ro-RO"/>
              </w:rPr>
              <w:t>Strategia va contribui în mod direct la capacitatea administrației raionului Telenești de a formula şi aplica politici publice care să sprijine dezvoltarea economică şi socială a raionului. De altfel, prin intermediul strategiei, administraţia publică locală va deţine un instrument de lucru eficient prin care să-şi aplice în mod controlat şi structurat politicile publice.</w:t>
            </w:r>
          </w:p>
          <w:p w:rsidR="00817260" w:rsidRPr="00CC0C79" w:rsidRDefault="00817260" w:rsidP="008604C1">
            <w:pPr>
              <w:tabs>
                <w:tab w:val="left" w:pos="5100"/>
              </w:tabs>
              <w:ind w:firstLine="709"/>
              <w:jc w:val="both"/>
              <w:rPr>
                <w:lang w:val="ro-RO"/>
              </w:rPr>
            </w:pPr>
            <w:r w:rsidRPr="00CC0C79">
              <w:rPr>
                <w:lang w:val="ro-RO"/>
              </w:rPr>
              <w:t>Strategia de dezvoltare socio-economică a raionului Telenești constituie bază atât pentru dezvoltarea economiei locale cât şi pentru îmbunătăţirea calităţii vieţii cetăţenilor.</w:t>
            </w:r>
          </w:p>
          <w:p w:rsidR="00817260" w:rsidRPr="00CC0C79" w:rsidRDefault="00817260" w:rsidP="008604C1">
            <w:pPr>
              <w:tabs>
                <w:tab w:val="left" w:pos="5100"/>
              </w:tabs>
              <w:ind w:firstLine="709"/>
              <w:jc w:val="both"/>
              <w:rPr>
                <w:lang w:val="ro-RO"/>
              </w:rPr>
            </w:pPr>
            <w:r w:rsidRPr="00CC0C79">
              <w:rPr>
                <w:lang w:val="ro-RO"/>
              </w:rPr>
              <w:t>Realizată din iniţiativa consiliului raional, strategia se bazează pe un proces participativ unic, ce implică autorităţile locale, cetăţenii şi mediul privat, prin intermediul sondajelor şi dezbaterilor organizate de experţi.</w:t>
            </w:r>
          </w:p>
          <w:p w:rsidR="00817260" w:rsidRPr="00CC0C79" w:rsidRDefault="00817260" w:rsidP="008604C1">
            <w:pPr>
              <w:shd w:val="clear" w:color="auto" w:fill="DBE5F1"/>
              <w:jc w:val="both"/>
              <w:rPr>
                <w:rFonts w:eastAsiaTheme="minorHAnsi"/>
                <w:i/>
                <w:color w:val="000000"/>
                <w:lang w:val="ro-RO"/>
              </w:rPr>
            </w:pPr>
            <w:r w:rsidRPr="00CC0C79">
              <w:rPr>
                <w:rFonts w:eastAsiaTheme="minorHAnsi"/>
                <w:color w:val="17365D"/>
                <w:lang w:val="ro-RO"/>
              </w:rPr>
              <w:t xml:space="preserve">Viziunea: </w:t>
            </w:r>
            <w:r w:rsidRPr="00CC0C79">
              <w:rPr>
                <w:rFonts w:eastAsiaTheme="minorHAnsi"/>
                <w:i/>
                <w:color w:val="000000"/>
                <w:lang w:val="ro-RO"/>
              </w:rPr>
              <w:t>Raionul Telenești o unitate administrativ-teritorială atractivă din punct de vedere economic, echilibrată din punct de vedere sectorial şi teritorial, bazată pe valorificarea superioară a resurselor locale şi pe respectarea mediului înconjurător.</w:t>
            </w:r>
          </w:p>
          <w:p w:rsidR="00817260" w:rsidRPr="00CC0C79" w:rsidRDefault="00817260" w:rsidP="008604C1">
            <w:pPr>
              <w:ind w:firstLine="708"/>
              <w:jc w:val="both"/>
              <w:rPr>
                <w:rFonts w:eastAsiaTheme="minorHAnsi"/>
                <w:lang w:val="ro-RO"/>
              </w:rPr>
            </w:pPr>
            <w:r w:rsidRPr="00CC0C79">
              <w:rPr>
                <w:rFonts w:eastAsiaTheme="minorHAnsi"/>
                <w:lang w:val="ro-RO"/>
              </w:rPr>
              <w:t xml:space="preserve">Viziunea propusă nu implică formularea unor obiective strategice diferite, ci doar </w:t>
            </w:r>
            <w:proofErr w:type="spellStart"/>
            <w:r w:rsidRPr="00CC0C79">
              <w:rPr>
                <w:rFonts w:eastAsiaTheme="minorHAnsi"/>
                <w:lang w:val="ro-RO"/>
              </w:rPr>
              <w:t>prioritizarea</w:t>
            </w:r>
            <w:proofErr w:type="spellEnd"/>
            <w:r w:rsidRPr="00CC0C79">
              <w:rPr>
                <w:rFonts w:eastAsiaTheme="minorHAnsi"/>
                <w:lang w:val="ro-RO"/>
              </w:rPr>
              <w:t xml:space="preserve"> diferită a proiectelor în cadrul obiectivelor specifice şi a măsurilor.</w:t>
            </w:r>
          </w:p>
          <w:p w:rsidR="00817260" w:rsidRPr="00CC0C79" w:rsidRDefault="00817260" w:rsidP="008604C1">
            <w:pPr>
              <w:spacing w:after="200"/>
              <w:ind w:firstLine="709"/>
              <w:jc w:val="both"/>
              <w:rPr>
                <w:rFonts w:eastAsiaTheme="minorHAnsi"/>
                <w:lang w:val="ro-RO"/>
              </w:rPr>
            </w:pPr>
            <w:r w:rsidRPr="00CC0C79">
              <w:rPr>
                <w:rFonts w:eastAsiaTheme="minorHAnsi"/>
                <w:lang w:val="ro-RO"/>
              </w:rPr>
              <w:t>Pentru a realiza viziunea propusă s-au identificat următoarele obiective strategice:</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tblPr>
            <w:tblGrid>
              <w:gridCol w:w="2612"/>
              <w:gridCol w:w="6943"/>
            </w:tblGrid>
            <w:tr w:rsidR="00817260" w:rsidRPr="00842E0A" w:rsidTr="008604C1">
              <w:tc>
                <w:tcPr>
                  <w:tcW w:w="2693" w:type="dxa"/>
                  <w:shd w:val="clear" w:color="auto" w:fill="DEEAF6"/>
                </w:tcPr>
                <w:p w:rsidR="00817260" w:rsidRPr="00CC0C79" w:rsidRDefault="00817260" w:rsidP="008604C1">
                  <w:pPr>
                    <w:spacing w:line="276" w:lineRule="auto"/>
                    <w:rPr>
                      <w:rFonts w:eastAsiaTheme="minorHAnsi"/>
                      <w:b/>
                      <w:bCs/>
                      <w:lang w:val="ro-RO"/>
                    </w:rPr>
                  </w:pPr>
                  <w:r w:rsidRPr="00CC0C79">
                    <w:rPr>
                      <w:rFonts w:eastAsiaTheme="minorHAnsi"/>
                      <w:b/>
                      <w:bCs/>
                      <w:lang w:val="ro-RO"/>
                    </w:rPr>
                    <w:t>Dezvoltarea economică</w:t>
                  </w:r>
                </w:p>
              </w:tc>
              <w:tc>
                <w:tcPr>
                  <w:tcW w:w="7429" w:type="dxa"/>
                  <w:shd w:val="clear" w:color="auto" w:fill="DEEAF6"/>
                </w:tcPr>
                <w:p w:rsidR="00817260" w:rsidRPr="00CC0C79" w:rsidRDefault="00817260" w:rsidP="008604C1">
                  <w:pPr>
                    <w:spacing w:line="276" w:lineRule="auto"/>
                    <w:rPr>
                      <w:rFonts w:eastAsiaTheme="minorHAnsi"/>
                      <w:lang w:val="ro-RO"/>
                    </w:rPr>
                  </w:pPr>
                  <w:r w:rsidRPr="00CC0C79">
                    <w:rPr>
                      <w:rFonts w:eastAsiaTheme="minorHAnsi"/>
                      <w:lang w:val="ro-RO"/>
                    </w:rPr>
                    <w:t>Dezvoltarea durabilă a economiei şi reducerea şomajului</w:t>
                  </w:r>
                </w:p>
              </w:tc>
            </w:tr>
            <w:tr w:rsidR="00817260" w:rsidRPr="00842E0A" w:rsidTr="008604C1">
              <w:tc>
                <w:tcPr>
                  <w:tcW w:w="2693" w:type="dxa"/>
                  <w:shd w:val="clear" w:color="auto" w:fill="auto"/>
                </w:tcPr>
                <w:p w:rsidR="00817260" w:rsidRPr="00CC0C79" w:rsidRDefault="00817260" w:rsidP="008604C1">
                  <w:pPr>
                    <w:spacing w:line="276" w:lineRule="auto"/>
                    <w:rPr>
                      <w:rFonts w:eastAsiaTheme="minorHAnsi"/>
                      <w:b/>
                      <w:bCs/>
                      <w:lang w:val="ro-RO"/>
                    </w:rPr>
                  </w:pPr>
                  <w:r w:rsidRPr="00CC0C79">
                    <w:rPr>
                      <w:rFonts w:eastAsiaTheme="minorHAnsi"/>
                      <w:b/>
                      <w:bCs/>
                      <w:lang w:val="ro-RO"/>
                    </w:rPr>
                    <w:t>Infrastructură</w:t>
                  </w:r>
                </w:p>
              </w:tc>
              <w:tc>
                <w:tcPr>
                  <w:tcW w:w="7429" w:type="dxa"/>
                  <w:shd w:val="clear" w:color="auto" w:fill="auto"/>
                </w:tcPr>
                <w:p w:rsidR="00817260" w:rsidRPr="00CC0C79" w:rsidRDefault="00817260" w:rsidP="008604C1">
                  <w:pPr>
                    <w:spacing w:line="276" w:lineRule="auto"/>
                    <w:rPr>
                      <w:rFonts w:eastAsiaTheme="minorHAnsi"/>
                      <w:lang w:val="ro-RO"/>
                    </w:rPr>
                  </w:pPr>
                  <w:r w:rsidRPr="00CC0C79">
                    <w:rPr>
                      <w:rFonts w:eastAsiaTheme="minorHAnsi"/>
                      <w:lang w:val="ro-RO"/>
                    </w:rPr>
                    <w:t>Dezvoltarea infrastructurii – socială, edilitară şi de mediu</w:t>
                  </w:r>
                </w:p>
              </w:tc>
            </w:tr>
            <w:tr w:rsidR="00817260" w:rsidRPr="00842E0A" w:rsidTr="008604C1">
              <w:tc>
                <w:tcPr>
                  <w:tcW w:w="2693" w:type="dxa"/>
                  <w:shd w:val="clear" w:color="auto" w:fill="DEEAF6"/>
                </w:tcPr>
                <w:p w:rsidR="00817260" w:rsidRPr="00CC0C79" w:rsidRDefault="00817260" w:rsidP="008604C1">
                  <w:pPr>
                    <w:spacing w:line="276" w:lineRule="auto"/>
                    <w:rPr>
                      <w:rFonts w:eastAsiaTheme="minorHAnsi"/>
                      <w:b/>
                      <w:bCs/>
                      <w:lang w:val="ro-RO"/>
                    </w:rPr>
                  </w:pPr>
                  <w:r w:rsidRPr="00CC0C79">
                    <w:rPr>
                      <w:rFonts w:eastAsiaTheme="minorHAnsi"/>
                      <w:b/>
                      <w:bCs/>
                      <w:lang w:val="ro-RO"/>
                    </w:rPr>
                    <w:t>Servicii publice</w:t>
                  </w:r>
                </w:p>
              </w:tc>
              <w:tc>
                <w:tcPr>
                  <w:tcW w:w="7429" w:type="dxa"/>
                  <w:shd w:val="clear" w:color="auto" w:fill="DEEAF6"/>
                </w:tcPr>
                <w:p w:rsidR="00817260" w:rsidRPr="00CC0C79" w:rsidRDefault="00817260" w:rsidP="008604C1">
                  <w:pPr>
                    <w:spacing w:line="276" w:lineRule="auto"/>
                    <w:rPr>
                      <w:rFonts w:eastAsiaTheme="minorHAnsi"/>
                      <w:lang w:val="ro-RO"/>
                    </w:rPr>
                  </w:pPr>
                  <w:r w:rsidRPr="00CC0C79">
                    <w:rPr>
                      <w:rFonts w:eastAsiaTheme="minorHAnsi"/>
                      <w:lang w:val="ro-RO"/>
                    </w:rPr>
                    <w:t>Dezvoltarea serviciilor publice – premisa a unei vieţi de calitate</w:t>
                  </w:r>
                </w:p>
              </w:tc>
            </w:tr>
            <w:tr w:rsidR="00817260" w:rsidRPr="00842E0A" w:rsidTr="008604C1">
              <w:trPr>
                <w:trHeight w:val="78"/>
              </w:trPr>
              <w:tc>
                <w:tcPr>
                  <w:tcW w:w="2693" w:type="dxa"/>
                  <w:shd w:val="clear" w:color="auto" w:fill="auto"/>
                </w:tcPr>
                <w:p w:rsidR="00817260" w:rsidRPr="00CC0C79" w:rsidRDefault="00817260" w:rsidP="008604C1">
                  <w:pPr>
                    <w:spacing w:line="276" w:lineRule="auto"/>
                    <w:rPr>
                      <w:rFonts w:eastAsiaTheme="minorHAnsi"/>
                      <w:b/>
                      <w:bCs/>
                      <w:lang w:val="ro-RO"/>
                    </w:rPr>
                  </w:pPr>
                  <w:r w:rsidRPr="00CC0C79">
                    <w:rPr>
                      <w:rFonts w:eastAsiaTheme="minorHAnsi"/>
                      <w:b/>
                      <w:bCs/>
                      <w:lang w:val="ro-RO"/>
                    </w:rPr>
                    <w:t>Cultură, agrement</w:t>
                  </w:r>
                </w:p>
              </w:tc>
              <w:tc>
                <w:tcPr>
                  <w:tcW w:w="7429" w:type="dxa"/>
                  <w:shd w:val="clear" w:color="auto" w:fill="auto"/>
                </w:tcPr>
                <w:p w:rsidR="00817260" w:rsidRPr="00CC0C79" w:rsidRDefault="00817260" w:rsidP="008604C1">
                  <w:pPr>
                    <w:spacing w:line="276" w:lineRule="auto"/>
                    <w:rPr>
                      <w:rFonts w:eastAsiaTheme="minorHAnsi"/>
                      <w:lang w:val="ro-RO"/>
                    </w:rPr>
                  </w:pPr>
                  <w:r w:rsidRPr="00CC0C79">
                    <w:rPr>
                      <w:rFonts w:eastAsiaTheme="minorHAnsi"/>
                      <w:lang w:val="ro-RO"/>
                    </w:rPr>
                    <w:t>Relansarea vieţii culturale şi dezvoltarea activităţilor de agrement la standarde europene</w:t>
                  </w:r>
                </w:p>
              </w:tc>
            </w:tr>
            <w:tr w:rsidR="00817260" w:rsidRPr="00842E0A" w:rsidTr="008604C1">
              <w:tc>
                <w:tcPr>
                  <w:tcW w:w="2693" w:type="dxa"/>
                  <w:shd w:val="clear" w:color="auto" w:fill="DEEAF6"/>
                </w:tcPr>
                <w:p w:rsidR="00817260" w:rsidRPr="00CC0C79" w:rsidRDefault="00817260" w:rsidP="008604C1">
                  <w:pPr>
                    <w:spacing w:line="276" w:lineRule="auto"/>
                    <w:rPr>
                      <w:rFonts w:eastAsiaTheme="minorHAnsi"/>
                      <w:b/>
                      <w:bCs/>
                      <w:lang w:val="ro-RO"/>
                    </w:rPr>
                  </w:pPr>
                  <w:r w:rsidRPr="00CC0C79">
                    <w:rPr>
                      <w:rFonts w:eastAsiaTheme="minorHAnsi"/>
                      <w:b/>
                      <w:bCs/>
                      <w:lang w:val="ro-RO"/>
                    </w:rPr>
                    <w:t>Turism</w:t>
                  </w:r>
                </w:p>
              </w:tc>
              <w:tc>
                <w:tcPr>
                  <w:tcW w:w="7429" w:type="dxa"/>
                  <w:shd w:val="clear" w:color="auto" w:fill="DEEAF6"/>
                </w:tcPr>
                <w:p w:rsidR="00817260" w:rsidRPr="00CC0C79" w:rsidRDefault="00817260" w:rsidP="008604C1">
                  <w:pPr>
                    <w:spacing w:line="276" w:lineRule="auto"/>
                    <w:rPr>
                      <w:rFonts w:eastAsiaTheme="minorHAnsi"/>
                      <w:lang w:val="ro-RO"/>
                    </w:rPr>
                  </w:pPr>
                  <w:r w:rsidRPr="00CC0C79">
                    <w:rPr>
                      <w:rFonts w:eastAsiaTheme="minorHAnsi"/>
                      <w:lang w:val="ro-RO"/>
                    </w:rPr>
                    <w:t>Dezvoltarea turismului competitiv la nivel european</w:t>
                  </w:r>
                </w:p>
              </w:tc>
            </w:tr>
          </w:tbl>
          <w:p w:rsidR="00817260" w:rsidRPr="00CC0C79" w:rsidRDefault="00817260" w:rsidP="008604C1">
            <w:pPr>
              <w:shd w:val="clear" w:color="auto" w:fill="FFFFFF"/>
              <w:spacing w:before="100" w:beforeAutospacing="1" w:afterAutospacing="1"/>
              <w:ind w:firstLine="540"/>
              <w:jc w:val="both"/>
              <w:rPr>
                <w:lang w:val="ro-RO" w:eastAsia="ro-RO"/>
              </w:rPr>
            </w:pPr>
          </w:p>
        </w:tc>
      </w:tr>
    </w:tbl>
    <w:p w:rsidR="00817260" w:rsidRPr="00CC0C79" w:rsidRDefault="00817260" w:rsidP="00817260">
      <w:pPr>
        <w:shd w:val="clear" w:color="auto" w:fill="FFFFFF"/>
        <w:ind w:firstLine="540"/>
        <w:jc w:val="both"/>
        <w:rPr>
          <w:lang w:val="ro-RO" w:eastAsia="ro-RO"/>
        </w:rPr>
      </w:pPr>
    </w:p>
    <w:p w:rsidR="00817260" w:rsidRPr="00CC0C79" w:rsidRDefault="00817260" w:rsidP="00817260">
      <w:pPr>
        <w:shd w:val="clear" w:color="auto" w:fill="FFFFFF"/>
        <w:ind w:firstLine="540"/>
        <w:jc w:val="both"/>
        <w:rPr>
          <w:b/>
          <w:color w:val="000000"/>
          <w:lang w:val="ro-RO" w:eastAsia="ro-RO"/>
        </w:rPr>
      </w:pPr>
      <w:r w:rsidRPr="00CC0C79">
        <w:rPr>
          <w:lang w:val="ro-RO" w:eastAsia="ro-RO"/>
        </w:rPr>
        <w:t xml:space="preserve"> </w:t>
      </w:r>
      <w:r w:rsidRPr="00CC0C79">
        <w:rPr>
          <w:b/>
          <w:color w:val="000000"/>
          <w:lang w:val="ro-RO" w:eastAsia="ro-RO"/>
        </w:rPr>
        <w:t>3. Principalele prevederi ale proiectului şi evidenţierea elementelor noi: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17260" w:rsidRPr="00842E0A" w:rsidTr="008604C1">
        <w:trPr>
          <w:trHeight w:val="446"/>
        </w:trPr>
        <w:tc>
          <w:tcPr>
            <w:tcW w:w="9781" w:type="dxa"/>
          </w:tcPr>
          <w:p w:rsidR="00817260" w:rsidRPr="00CC0C79" w:rsidRDefault="00817260" w:rsidP="008604C1">
            <w:pPr>
              <w:shd w:val="clear" w:color="auto" w:fill="FFFFFF"/>
              <w:spacing w:before="100" w:beforeAutospacing="1" w:after="100" w:afterAutospacing="1"/>
              <w:ind w:firstLine="540"/>
              <w:jc w:val="both"/>
              <w:rPr>
                <w:color w:val="333333"/>
                <w:lang w:val="ro-RO" w:eastAsia="ro-RO"/>
              </w:rPr>
            </w:pPr>
            <w:r w:rsidRPr="00CC0C79">
              <w:rPr>
                <w:lang w:val="ro-RO" w:eastAsia="ro-RO"/>
              </w:rPr>
              <w:t xml:space="preserve">Actele normative </w:t>
            </w:r>
            <w:r>
              <w:rPr>
                <w:lang w:val="ro-RO" w:eastAsia="ro-RO"/>
              </w:rPr>
              <w:t>c</w:t>
            </w:r>
            <w:r w:rsidRPr="00CC0C79">
              <w:rPr>
                <w:lang w:val="ro-RO" w:eastAsia="ro-RO"/>
              </w:rPr>
              <w:t>are  reglementează necesitate proiectului dat, sunt HG nr 176 din  22.03.2011cu</w:t>
            </w:r>
            <w:r>
              <w:rPr>
                <w:lang w:val="ro-RO" w:eastAsia="ro-RO"/>
              </w:rPr>
              <w:t xml:space="preserve"> </w:t>
            </w:r>
            <w:r w:rsidRPr="00CC0C79">
              <w:rPr>
                <w:lang w:val="ro-RO" w:eastAsia="ro-RO"/>
              </w:rPr>
              <w:t>privire la aprobarea metodologiei de elaborare a programelor de dezvoltare strategică ale AAPC, decizia CR nr. 2/1 din 29 mai 2020. La fel  în  programul de activitate  ale CR la  p.1,5  sunt  indicate…. .</w:t>
            </w:r>
          </w:p>
        </w:tc>
      </w:tr>
    </w:tbl>
    <w:p w:rsidR="00817260" w:rsidRPr="00CC0C79" w:rsidRDefault="00817260" w:rsidP="00817260">
      <w:pPr>
        <w:shd w:val="clear" w:color="auto" w:fill="FFFFFF"/>
        <w:ind w:firstLine="540"/>
        <w:jc w:val="both"/>
        <w:rPr>
          <w:b/>
          <w:lang w:val="ro-RO" w:eastAsia="ro-RO"/>
        </w:rPr>
      </w:pPr>
    </w:p>
    <w:p w:rsidR="00817260" w:rsidRPr="00CC0C79" w:rsidRDefault="00817260" w:rsidP="00817260">
      <w:pPr>
        <w:shd w:val="clear" w:color="auto" w:fill="FFFFFF"/>
        <w:ind w:firstLine="540"/>
        <w:jc w:val="both"/>
        <w:rPr>
          <w:b/>
          <w:lang w:val="ro-RO" w:eastAsia="ro-RO"/>
        </w:rPr>
      </w:pPr>
      <w:r w:rsidRPr="00CC0C79">
        <w:rPr>
          <w:b/>
          <w:lang w:val="ro-RO" w:eastAsia="ro-RO"/>
        </w:rPr>
        <w:t xml:space="preserve">4.Fundamentarea economico financiară: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17260" w:rsidRPr="00842E0A" w:rsidTr="008604C1">
        <w:trPr>
          <w:trHeight w:val="365"/>
        </w:trPr>
        <w:tc>
          <w:tcPr>
            <w:tcW w:w="9781" w:type="dxa"/>
          </w:tcPr>
          <w:p w:rsidR="00817260" w:rsidRPr="00CC0C79" w:rsidRDefault="00817260" w:rsidP="008604C1">
            <w:pPr>
              <w:shd w:val="clear" w:color="auto" w:fill="FFFFFF"/>
              <w:spacing w:before="100" w:beforeAutospacing="1" w:afterAutospacing="1"/>
              <w:jc w:val="both"/>
              <w:rPr>
                <w:lang w:val="ro-RO" w:eastAsia="ro-RO"/>
              </w:rPr>
            </w:pPr>
            <w:r w:rsidRPr="00CC0C79">
              <w:rPr>
                <w:lang w:val="ro-RO" w:eastAsia="ro-RO"/>
              </w:rPr>
              <w:t>Cheltuielile pentru elaborarea strategiei au fost locate prin decizia CR nr. 2/1</w:t>
            </w:r>
            <w:r>
              <w:rPr>
                <w:lang w:val="ro-RO" w:eastAsia="ro-RO"/>
              </w:rPr>
              <w:t xml:space="preserve"> </w:t>
            </w:r>
            <w:r w:rsidRPr="00CC0C79">
              <w:rPr>
                <w:lang w:val="ro-RO" w:eastAsia="ro-RO"/>
              </w:rPr>
              <w:t>din 29 mai 2020 și  constituie  de facto 85 mii lei.</w:t>
            </w:r>
          </w:p>
        </w:tc>
      </w:tr>
    </w:tbl>
    <w:p w:rsidR="00817260" w:rsidRPr="00CC0C79" w:rsidRDefault="00817260" w:rsidP="00817260">
      <w:pPr>
        <w:shd w:val="clear" w:color="auto" w:fill="FFFFFF"/>
        <w:ind w:firstLine="540"/>
        <w:jc w:val="both"/>
        <w:rPr>
          <w:b/>
          <w:lang w:val="ro-RO" w:eastAsia="ro-RO"/>
        </w:rPr>
      </w:pPr>
    </w:p>
    <w:p w:rsidR="00817260" w:rsidRPr="00CC0C79" w:rsidRDefault="00817260" w:rsidP="00817260">
      <w:pPr>
        <w:shd w:val="clear" w:color="auto" w:fill="FFFFFF"/>
        <w:ind w:firstLine="540"/>
        <w:jc w:val="both"/>
        <w:rPr>
          <w:b/>
          <w:lang w:val="ro-RO" w:eastAsia="ro-RO"/>
        </w:rPr>
      </w:pPr>
      <w:r w:rsidRPr="00CC0C79">
        <w:rPr>
          <w:b/>
          <w:lang w:val="ro-RO" w:eastAsia="ro-RO"/>
        </w:rPr>
        <w:t>5. Modul de încorporare a actului în cadrul normativ în vigoare.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17260" w:rsidRPr="00842E0A" w:rsidTr="008604C1">
        <w:trPr>
          <w:trHeight w:val="172"/>
        </w:trPr>
        <w:tc>
          <w:tcPr>
            <w:tcW w:w="9781" w:type="dxa"/>
          </w:tcPr>
          <w:p w:rsidR="00817260" w:rsidRPr="00CC0C79" w:rsidRDefault="00817260" w:rsidP="008604C1">
            <w:pPr>
              <w:jc w:val="both"/>
              <w:rPr>
                <w:lang w:val="ro-RO" w:eastAsia="ro-RO"/>
              </w:rPr>
            </w:pPr>
            <w:r w:rsidRPr="00CC0C79">
              <w:rPr>
                <w:lang w:val="ro-RO" w:eastAsia="ro-RO"/>
              </w:rPr>
              <w:t xml:space="preserve">Strategie în cauză nu va necesita modificări ale actelor normative elaborate anterior, dar va fi o   călăuză pentru noile proiecte de decizii și actelor normative </w:t>
            </w:r>
            <w:r>
              <w:rPr>
                <w:lang w:val="ro-RO" w:eastAsia="ro-RO"/>
              </w:rPr>
              <w:t>î</w:t>
            </w:r>
            <w:r w:rsidRPr="00CC0C79">
              <w:rPr>
                <w:lang w:val="ro-RO" w:eastAsia="ro-RO"/>
              </w:rPr>
              <w:t>n viitor.</w:t>
            </w:r>
          </w:p>
        </w:tc>
      </w:tr>
    </w:tbl>
    <w:p w:rsidR="00817260" w:rsidRPr="00CC0C79" w:rsidRDefault="00817260" w:rsidP="00817260">
      <w:pPr>
        <w:shd w:val="clear" w:color="auto" w:fill="FFFFFF"/>
        <w:ind w:firstLine="567"/>
        <w:jc w:val="both"/>
        <w:rPr>
          <w:b/>
          <w:color w:val="000000"/>
          <w:lang w:val="ro-RO" w:eastAsia="ro-RO"/>
        </w:rPr>
      </w:pPr>
    </w:p>
    <w:p w:rsidR="00817260" w:rsidRPr="00CC0C79" w:rsidRDefault="00817260" w:rsidP="00817260">
      <w:pPr>
        <w:shd w:val="clear" w:color="auto" w:fill="FFFFFF"/>
        <w:ind w:firstLine="567"/>
        <w:jc w:val="both"/>
        <w:rPr>
          <w:b/>
          <w:color w:val="000000"/>
          <w:lang w:val="ro-RO" w:eastAsia="ro-RO"/>
        </w:rPr>
      </w:pPr>
      <w:r w:rsidRPr="00CC0C79">
        <w:rPr>
          <w:b/>
          <w:color w:val="000000"/>
          <w:lang w:val="ro-RO" w:eastAsia="ro-RO"/>
        </w:rPr>
        <w:t>6. Avizarea şi consultarea publică a proiectului de decizie: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17260" w:rsidRPr="00842E0A" w:rsidTr="008604C1">
        <w:trPr>
          <w:trHeight w:val="849"/>
        </w:trPr>
        <w:tc>
          <w:tcPr>
            <w:tcW w:w="9781" w:type="dxa"/>
          </w:tcPr>
          <w:p w:rsidR="00817260" w:rsidRPr="00CC0C79" w:rsidRDefault="00817260" w:rsidP="008604C1">
            <w:pPr>
              <w:shd w:val="clear" w:color="auto" w:fill="FFFFFF"/>
              <w:ind w:firstLine="540"/>
              <w:jc w:val="both"/>
              <w:rPr>
                <w:color w:val="000000"/>
                <w:shd w:val="clear" w:color="auto" w:fill="FFFFFF"/>
                <w:lang w:val="ro-RO" w:eastAsia="ro-RO"/>
              </w:rPr>
            </w:pPr>
            <w:r w:rsidRPr="00CC0C79">
              <w:rPr>
                <w:color w:val="000000"/>
                <w:lang w:val="ro-RO" w:eastAsia="ro-RO"/>
              </w:rPr>
              <w:t>În temeiul art. 32  al Legii nr.100/2017 cu privire la actele normative, proiectul deciziei a fost transmis spre cunoștință</w:t>
            </w:r>
            <w:r w:rsidRPr="00CC0C79">
              <w:rPr>
                <w:color w:val="000000"/>
                <w:shd w:val="clear" w:color="auto" w:fill="FFFFFF"/>
                <w:lang w:val="ro-RO" w:eastAsia="ro-RO"/>
              </w:rPr>
              <w:t xml:space="preserve"> și avizare autorităţilor publice responsabile de implementarea prevederilor conţinute în proiect, instituţiilor și subdiviziunilor după cum urmează:_serviciile  desconcentratele  raionului Telenești   care au întocmit şi prezentat autorului proiectului avizele la proiect(vizând-ul prin semnătura titularului funcției respective).</w:t>
            </w:r>
          </w:p>
          <w:p w:rsidR="00817260" w:rsidRPr="00CC0C79" w:rsidRDefault="00817260" w:rsidP="008604C1">
            <w:pPr>
              <w:shd w:val="clear" w:color="auto" w:fill="FFFFFF"/>
              <w:ind w:firstLine="540"/>
              <w:jc w:val="both"/>
              <w:rPr>
                <w:color w:val="000000"/>
                <w:lang w:val="ro-RO" w:eastAsia="ro-RO"/>
              </w:rPr>
            </w:pPr>
            <w:r w:rsidRPr="00CC0C79">
              <w:rPr>
                <w:color w:val="000000"/>
                <w:lang w:val="ro-RO" w:eastAsia="ro-RO"/>
              </w:rPr>
              <w:t xml:space="preserve"> De asemenea conform  prevederilor Legii nr.239/2013 privind transparența procesului decizional, proiectul deciziei este plasat pe pagina web a Consiliului raional directoriul „Transparența decizională”, secțiunea „Proiecte de decizii”.</w:t>
            </w:r>
          </w:p>
          <w:p w:rsidR="00817260" w:rsidRPr="00CC0C79" w:rsidRDefault="00817260" w:rsidP="008604C1">
            <w:pPr>
              <w:shd w:val="clear" w:color="auto" w:fill="FFFFFF"/>
              <w:ind w:firstLine="540"/>
              <w:jc w:val="both"/>
              <w:rPr>
                <w:color w:val="000000"/>
                <w:lang w:val="ro-RO" w:eastAsia="ro-RO"/>
              </w:rPr>
            </w:pPr>
            <w:r w:rsidRPr="00CC0C79">
              <w:rPr>
                <w:color w:val="000000"/>
                <w:lang w:val="ro-RO" w:eastAsia="ro-RO"/>
              </w:rPr>
              <w:t>La  elaborarea  strategiei au fost  implicați  :</w:t>
            </w:r>
          </w:p>
          <w:p w:rsidR="00817260" w:rsidRPr="00CC0C79" w:rsidRDefault="00817260" w:rsidP="00817260">
            <w:pPr>
              <w:numPr>
                <w:ilvl w:val="0"/>
                <w:numId w:val="1"/>
              </w:numPr>
              <w:contextualSpacing/>
              <w:jc w:val="both"/>
              <w:rPr>
                <w:lang w:val="ro-RO"/>
              </w:rPr>
            </w:pPr>
            <w:r w:rsidRPr="00CC0C79">
              <w:rPr>
                <w:lang w:val="ro-RO"/>
              </w:rPr>
              <w:t xml:space="preserve">funcţionarii publici ai Consiliului raional Telenești, pentru susţinerea permanentă, pentru furnizarea datelor şi facilitarea dialogului cu reprezentanţi cheie ai instituţiilor importante de la nivel raional; </w:t>
            </w:r>
          </w:p>
          <w:p w:rsidR="00817260" w:rsidRPr="00CC0C79" w:rsidRDefault="00817260" w:rsidP="00817260">
            <w:pPr>
              <w:numPr>
                <w:ilvl w:val="0"/>
                <w:numId w:val="1"/>
              </w:numPr>
              <w:contextualSpacing/>
              <w:jc w:val="both"/>
              <w:rPr>
                <w:lang w:val="ro-RO"/>
              </w:rPr>
            </w:pPr>
            <w:r w:rsidRPr="00CC0C79">
              <w:rPr>
                <w:lang w:val="ro-RO"/>
              </w:rPr>
              <w:t xml:space="preserve"> primarii, şi reprezentanţii partidelor politice din raion, pentru participarea la dezbaterea documentului în diverse faze de elaborare, pentru opiniile împărtăşite şi pentru propunerile care au ajutat la stabilirea direcţiilor prioritare de intervenţie; </w:t>
            </w:r>
          </w:p>
          <w:p w:rsidR="00817260" w:rsidRPr="00CC0C79" w:rsidRDefault="00817260" w:rsidP="00817260">
            <w:pPr>
              <w:numPr>
                <w:ilvl w:val="0"/>
                <w:numId w:val="1"/>
              </w:numPr>
              <w:contextualSpacing/>
              <w:jc w:val="both"/>
              <w:rPr>
                <w:lang w:val="ro-RO"/>
              </w:rPr>
            </w:pPr>
            <w:r w:rsidRPr="00CC0C79">
              <w:rPr>
                <w:lang w:val="ro-RO"/>
              </w:rPr>
              <w:t xml:space="preserve">reprezentanţii sectorului privat, care au participat la dezbaterile de lucru, în cadrul întâlnirilor organizate cu membrii Comitetelor de planificare strategică şi care au contribuit cu informaţii şi cu propuneri de proiecte pentru dezvoltarea viitoare a raionului; </w:t>
            </w:r>
          </w:p>
          <w:p w:rsidR="00817260" w:rsidRPr="00CC0C79" w:rsidRDefault="00817260" w:rsidP="00817260">
            <w:pPr>
              <w:numPr>
                <w:ilvl w:val="0"/>
                <w:numId w:val="1"/>
              </w:numPr>
              <w:contextualSpacing/>
              <w:jc w:val="both"/>
              <w:rPr>
                <w:lang w:val="ro-RO"/>
              </w:rPr>
            </w:pPr>
            <w:r w:rsidRPr="00CC0C79">
              <w:rPr>
                <w:lang w:val="ro-RO"/>
              </w:rPr>
              <w:t xml:space="preserve">reprezentanţii direcţiilor deconcentrate ale consiliului raional, ai instituţiilor publice şi ai sectorului non-guvernamental, pentru sprijinul nemijlocit; </w:t>
            </w:r>
          </w:p>
          <w:p w:rsidR="00817260" w:rsidRPr="00CC0C79" w:rsidRDefault="00817260" w:rsidP="00817260">
            <w:pPr>
              <w:numPr>
                <w:ilvl w:val="0"/>
                <w:numId w:val="1"/>
              </w:numPr>
              <w:contextualSpacing/>
              <w:jc w:val="both"/>
              <w:rPr>
                <w:rFonts w:eastAsiaTheme="minorHAnsi"/>
                <w:color w:val="000000"/>
                <w:lang w:val="ro-RO"/>
              </w:rPr>
            </w:pPr>
            <w:r w:rsidRPr="00CC0C79">
              <w:rPr>
                <w:lang w:val="ro-RO"/>
              </w:rPr>
              <w:t>cetăţenilor pentru colaborare şi răspunsuri la chestionare.</w:t>
            </w:r>
          </w:p>
        </w:tc>
      </w:tr>
    </w:tbl>
    <w:p w:rsidR="00817260" w:rsidRPr="00CC0C79" w:rsidRDefault="00817260" w:rsidP="00817260">
      <w:pPr>
        <w:shd w:val="clear" w:color="auto" w:fill="FFFFFF"/>
        <w:ind w:firstLine="540"/>
        <w:jc w:val="both"/>
        <w:rPr>
          <w:lang w:val="ro-RO" w:eastAsia="ro-RO"/>
        </w:rPr>
      </w:pPr>
    </w:p>
    <w:p w:rsidR="00817260" w:rsidRPr="00CC0C79" w:rsidRDefault="00817260" w:rsidP="00817260">
      <w:pPr>
        <w:shd w:val="clear" w:color="auto" w:fill="FFFFFF"/>
        <w:ind w:firstLine="540"/>
        <w:jc w:val="both"/>
        <w:rPr>
          <w:b/>
          <w:lang w:val="ro-RO" w:eastAsia="ro-RO"/>
        </w:rPr>
      </w:pPr>
      <w:r w:rsidRPr="00CC0C79">
        <w:rPr>
          <w:b/>
          <w:lang w:val="ro-RO" w:eastAsia="ro-RO"/>
        </w:rPr>
        <w:t>7. Consultarea expertizei juridice: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17260" w:rsidRPr="00CC0C79" w:rsidTr="008604C1">
        <w:trPr>
          <w:trHeight w:val="986"/>
        </w:trPr>
        <w:tc>
          <w:tcPr>
            <w:tcW w:w="9781" w:type="dxa"/>
          </w:tcPr>
          <w:p w:rsidR="00817260" w:rsidRPr="00CC0C79" w:rsidRDefault="00817260" w:rsidP="008604C1">
            <w:pPr>
              <w:shd w:val="clear" w:color="auto" w:fill="FFFFFF"/>
              <w:spacing w:before="100" w:beforeAutospacing="1" w:afterAutospacing="1"/>
              <w:jc w:val="both"/>
              <w:rPr>
                <w:lang w:val="ro-RO" w:eastAsia="ro-RO"/>
              </w:rPr>
            </w:pPr>
            <w:r w:rsidRPr="00CC0C79">
              <w:rPr>
                <w:lang w:val="ro-RO" w:eastAsia="ro-RO"/>
              </w:rPr>
              <w:t xml:space="preserve">      În temeiul art. 37 (6) al Legii nr.100/2017 cu privire la actele normative, proiectul deciziei a fost expus expertizei juridice de către specialistul principal în probleme juridice. Structura și conținutul actului corespunde normelor de tehnică legislativă.</w:t>
            </w:r>
          </w:p>
        </w:tc>
      </w:tr>
    </w:tbl>
    <w:p w:rsidR="00817260" w:rsidRPr="00CC0C79" w:rsidRDefault="00817260" w:rsidP="00817260">
      <w:pPr>
        <w:shd w:val="clear" w:color="auto" w:fill="FFFFFF"/>
        <w:ind w:firstLine="540"/>
        <w:jc w:val="both"/>
        <w:rPr>
          <w:b/>
          <w:bCs/>
          <w:color w:val="000000"/>
          <w:lang w:val="ro-RO" w:eastAsia="ro-RO"/>
        </w:rPr>
      </w:pPr>
    </w:p>
    <w:p w:rsidR="00817260" w:rsidRPr="00105289" w:rsidRDefault="00817260" w:rsidP="00817260">
      <w:pPr>
        <w:ind w:firstLine="567"/>
        <w:jc w:val="both"/>
        <w:rPr>
          <w:lang w:val="ro-RO"/>
        </w:rPr>
      </w:pPr>
    </w:p>
    <w:p w:rsidR="00817260" w:rsidRPr="00105289" w:rsidRDefault="00817260" w:rsidP="00817260">
      <w:pPr>
        <w:rPr>
          <w:b/>
          <w:lang w:val="ro-RO"/>
        </w:rPr>
      </w:pPr>
      <w:r w:rsidRPr="00105289">
        <w:rPr>
          <w:b/>
          <w:lang w:val="ro-RO"/>
        </w:rPr>
        <w:t xml:space="preserve">              Șef Direcția Economie                                          Anton </w:t>
      </w:r>
      <w:proofErr w:type="spellStart"/>
      <w:r w:rsidRPr="00105289">
        <w:rPr>
          <w:b/>
          <w:lang w:val="ro-RO"/>
        </w:rPr>
        <w:t>Loreti</w:t>
      </w:r>
      <w:proofErr w:type="spellEnd"/>
    </w:p>
    <w:p w:rsidR="00817260" w:rsidRPr="00105289" w:rsidRDefault="00817260" w:rsidP="00817260">
      <w:pPr>
        <w:ind w:firstLine="567"/>
        <w:jc w:val="both"/>
        <w:rPr>
          <w:lang w:val="ro-RO"/>
        </w:rPr>
      </w:pPr>
    </w:p>
    <w:p w:rsidR="00817260" w:rsidRPr="003E7CDE" w:rsidRDefault="00817260" w:rsidP="00817260"/>
    <w:p w:rsidR="005E257E" w:rsidRDefault="005E257E"/>
    <w:sectPr w:rsidR="005E257E" w:rsidSect="00CC0C79">
      <w:pgSz w:w="11906" w:h="16838"/>
      <w:pgMar w:top="284" w:right="707" w:bottom="568"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B6BD7"/>
    <w:multiLevelType w:val="hybridMultilevel"/>
    <w:tmpl w:val="40BA6A7A"/>
    <w:lvl w:ilvl="0" w:tplc="35CE6C4C">
      <w:numFmt w:val="bullet"/>
      <w:lvlText w:val="•"/>
      <w:lvlJc w:val="left"/>
      <w:pPr>
        <w:ind w:left="1069" w:hanging="360"/>
      </w:pPr>
      <w:rPr>
        <w:rFonts w:ascii="Calibri" w:eastAsia="Calibr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7260"/>
    <w:rsid w:val="005E257E"/>
    <w:rsid w:val="0081726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260"/>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4925</Characters>
  <Application>Microsoft Office Word</Application>
  <DocSecurity>0</DocSecurity>
  <Lines>41</Lines>
  <Paragraphs>11</Paragraphs>
  <ScaleCrop>false</ScaleCrop>
  <Company>CtrlSoft</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Jurist</cp:lastModifiedBy>
  <cp:revision>1</cp:revision>
  <dcterms:created xsi:type="dcterms:W3CDTF">2021-08-25T07:23:00Z</dcterms:created>
  <dcterms:modified xsi:type="dcterms:W3CDTF">2021-08-25T07:23:00Z</dcterms:modified>
</cp:coreProperties>
</file>