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94" w:rsidRPr="000E7A03" w:rsidRDefault="000A3D94" w:rsidP="000A3D94">
      <w:pPr>
        <w:widowControl w:val="0"/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Courier New"/>
          <w:color w:val="000000"/>
          <w:lang w:val="ro-RO" w:bidi="ro-RO"/>
        </w:rPr>
      </w:pPr>
      <w:r w:rsidRPr="000E7A03">
        <w:rPr>
          <w:rFonts w:ascii="Calibri" w:eastAsia="Calibri" w:hAnsi="Calibri" w:cs="Courier New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D94" w:rsidRPr="000E7A03" w:rsidRDefault="000A3D94" w:rsidP="000A3D94">
      <w:pPr>
        <w:widowControl w:val="0"/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u w:val="single"/>
          <w:lang w:val="ro-RO" w:bidi="ro-RO"/>
        </w:rPr>
      </w:pPr>
      <w:r w:rsidRPr="000E7A03">
        <w:rPr>
          <w:rFonts w:ascii="Courier New" w:eastAsia="Calibri" w:hAnsi="Courier New" w:cs="Courier New"/>
          <w:b/>
          <w:color w:val="000000"/>
          <w:sz w:val="36"/>
          <w:lang w:val="ro-RO" w:bidi="ro-RO"/>
        </w:rPr>
        <w:t xml:space="preserve">                                    </w:t>
      </w:r>
      <w:r w:rsidRPr="000E7A03">
        <w:rPr>
          <w:rFonts w:ascii="Times New Roman" w:eastAsia="Calibri" w:hAnsi="Times New Roman" w:cs="Times New Roman"/>
          <w:b/>
          <w:color w:val="000000"/>
          <w:sz w:val="36"/>
          <w:lang w:val="ro-RO" w:bidi="ro-RO"/>
        </w:rPr>
        <w:t xml:space="preserve">REPUBLICA MOLDOVA      </w:t>
      </w:r>
      <w:r w:rsidRPr="000E7A03"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A03">
        <w:rPr>
          <w:rFonts w:ascii="Times New Roman" w:eastAsia="Calibri" w:hAnsi="Times New Roman" w:cs="Times New Roman"/>
          <w:b/>
          <w:color w:val="000000"/>
          <w:sz w:val="28"/>
          <w:lang w:val="ro-RO" w:bidi="ro-RO"/>
        </w:rPr>
        <w:t xml:space="preserve"> CONSILIUL</w:t>
      </w:r>
      <w:r w:rsidRPr="000E7A03">
        <w:rPr>
          <w:rFonts w:ascii="Times New Roman" w:eastAsia="Calibri" w:hAnsi="Times New Roman" w:cs="Times New Roman"/>
          <w:b/>
          <w:color w:val="FFFFFF"/>
          <w:sz w:val="28"/>
          <w:lang w:val="ro-RO" w:bidi="ro-RO"/>
        </w:rPr>
        <w:t>_</w:t>
      </w:r>
      <w:r w:rsidRPr="000E7A03">
        <w:rPr>
          <w:rFonts w:ascii="Times New Roman" w:eastAsia="Calibri" w:hAnsi="Times New Roman" w:cs="Times New Roman"/>
          <w:b/>
          <w:color w:val="000000"/>
          <w:sz w:val="28"/>
          <w:lang w:val="ro-RO" w:bidi="ro-RO"/>
        </w:rPr>
        <w:t>RAIONAL TELENEȘTI</w:t>
      </w:r>
      <w:r w:rsidRPr="000E7A03">
        <w:rPr>
          <w:rFonts w:ascii="Times New Roman" w:eastAsia="Calibri" w:hAnsi="Times New Roman" w:cs="Times New Roman"/>
          <w:b/>
          <w:color w:val="000000"/>
          <w:sz w:val="28"/>
          <w:u w:val="single"/>
          <w:lang w:val="ro-RO" w:bidi="ro-RO"/>
        </w:rPr>
        <w:t xml:space="preserve">    </w:t>
      </w:r>
    </w:p>
    <w:p w:rsidR="000A3D94" w:rsidRPr="000E7A03" w:rsidRDefault="000A3D94" w:rsidP="000A3D94">
      <w:pPr>
        <w:widowControl w:val="0"/>
        <w:spacing w:after="0"/>
        <w:jc w:val="center"/>
        <w:outlineLvl w:val="1"/>
        <w:rPr>
          <w:rFonts w:ascii="Times New Roman" w:eastAsia="Courier New" w:hAnsi="Times New Roman" w:cs="Times New Roman"/>
          <w:color w:val="000000"/>
          <w:sz w:val="20"/>
          <w:szCs w:val="20"/>
          <w:lang w:val="ro-RO" w:eastAsia="ru-RU" w:bidi="ro-RO"/>
        </w:rPr>
      </w:pPr>
      <w:r w:rsidRPr="000E7A03">
        <w:rPr>
          <w:rFonts w:ascii="Times New Roman" w:eastAsia="Calibri" w:hAnsi="Times New Roman" w:cs="Times New Roman"/>
          <w:color w:val="000000"/>
          <w:sz w:val="24"/>
          <w:lang w:val="ro-RO" w:bidi="ro-RO"/>
        </w:rPr>
        <w:t xml:space="preserve"> </w:t>
      </w:r>
      <w:r w:rsidRPr="000E7A03">
        <w:rPr>
          <w:rFonts w:ascii="Times New Roman" w:eastAsia="Courier New" w:hAnsi="Times New Roman" w:cs="Times New Roman"/>
          <w:color w:val="000000"/>
          <w:sz w:val="20"/>
          <w:szCs w:val="20"/>
          <w:lang w:val="ro-RO" w:eastAsia="ru-RU" w:bidi="ro-RO"/>
        </w:rPr>
        <w:t xml:space="preserve">MD-5801, </w:t>
      </w:r>
      <w:proofErr w:type="spellStart"/>
      <w:r w:rsidRPr="000E7A03">
        <w:rPr>
          <w:rFonts w:ascii="Times New Roman" w:eastAsia="Courier New" w:hAnsi="Times New Roman" w:cs="Times New Roman"/>
          <w:color w:val="000000"/>
          <w:sz w:val="20"/>
          <w:szCs w:val="20"/>
          <w:lang w:val="ro-RO" w:eastAsia="ru-RU" w:bidi="ro-RO"/>
        </w:rPr>
        <w:t>or.Teleneşti</w:t>
      </w:r>
      <w:proofErr w:type="spellEnd"/>
      <w:r w:rsidRPr="000E7A03">
        <w:rPr>
          <w:rFonts w:ascii="Times New Roman" w:eastAsia="Courier New" w:hAnsi="Times New Roman" w:cs="Times New Roman"/>
          <w:color w:val="000000"/>
          <w:sz w:val="20"/>
          <w:szCs w:val="20"/>
          <w:lang w:val="ro-RO" w:eastAsia="ru-RU" w:bidi="ro-RO"/>
        </w:rPr>
        <w:t>, str.31 August, 9 tel: (258)2-20-58, 2-26-50, fax: 2-24-50</w:t>
      </w:r>
    </w:p>
    <w:p w:rsidR="000A3D94" w:rsidRPr="000E7A03" w:rsidRDefault="00A72781" w:rsidP="000A3D94">
      <w:pPr>
        <w:widowControl w:val="0"/>
        <w:spacing w:after="0"/>
        <w:jc w:val="center"/>
        <w:outlineLvl w:val="1"/>
        <w:rPr>
          <w:rFonts w:ascii="Times New Roman" w:eastAsia="Calibri" w:hAnsi="Times New Roman" w:cs="Times New Roman"/>
          <w:color w:val="000000"/>
          <w:lang w:val="ro-RO" w:bidi="ro-RO"/>
        </w:rPr>
      </w:pPr>
      <w:hyperlink r:id="rId7" w:history="1">
        <w:r w:rsidR="000A3D94" w:rsidRPr="000E7A03">
          <w:rPr>
            <w:rFonts w:ascii="Times New Roman" w:eastAsia="Courier New" w:hAnsi="Times New Roman" w:cs="Times New Roman"/>
            <w:color w:val="0000FF"/>
            <w:sz w:val="18"/>
            <w:szCs w:val="20"/>
            <w:u w:val="single"/>
            <w:lang w:val="ro-RO" w:eastAsia="ru-RU" w:bidi="ro-RO"/>
          </w:rPr>
          <w:t>www.telenesti.md</w:t>
        </w:r>
      </w:hyperlink>
      <w:r w:rsidR="000A3D94" w:rsidRPr="000E7A03">
        <w:rPr>
          <w:rFonts w:ascii="Times New Roman" w:eastAsia="Courier New" w:hAnsi="Times New Roman" w:cs="Times New Roman"/>
          <w:color w:val="0000FF"/>
          <w:sz w:val="18"/>
          <w:szCs w:val="20"/>
          <w:u w:val="single"/>
          <w:lang w:val="ro-RO" w:eastAsia="ru-RU" w:bidi="ro-RO"/>
        </w:rPr>
        <w:t>,</w:t>
      </w:r>
      <w:r w:rsidR="000A3D94" w:rsidRPr="000E7A03">
        <w:rPr>
          <w:rFonts w:ascii="Times New Roman" w:eastAsia="Courier New" w:hAnsi="Times New Roman" w:cs="Times New Roman"/>
          <w:color w:val="0000FF"/>
          <w:sz w:val="18"/>
          <w:szCs w:val="20"/>
          <w:lang w:val="ro-RO" w:eastAsia="ru-RU" w:bidi="ro-RO"/>
        </w:rPr>
        <w:t xml:space="preserve"> </w:t>
      </w:r>
      <w:r w:rsidR="000A3D94" w:rsidRPr="000E7A03">
        <w:rPr>
          <w:rFonts w:ascii="Times New Roman" w:eastAsia="Courier New" w:hAnsi="Times New Roman" w:cs="Times New Roman"/>
          <w:color w:val="000000"/>
          <w:sz w:val="18"/>
          <w:szCs w:val="20"/>
          <w:lang w:val="ro-RO" w:eastAsia="ru-RU" w:bidi="ro-RO"/>
        </w:rPr>
        <w:t xml:space="preserve"> </w:t>
      </w:r>
      <w:hyperlink r:id="rId8" w:history="1">
        <w:r w:rsidR="000A3D94" w:rsidRPr="000E7A03">
          <w:rPr>
            <w:rFonts w:ascii="Times New Roman" w:eastAsia="Courier New" w:hAnsi="Times New Roman" w:cs="Times New Roman"/>
            <w:color w:val="0000FF"/>
            <w:sz w:val="18"/>
            <w:szCs w:val="20"/>
            <w:u w:val="single"/>
            <w:lang w:val="ro-RO" w:eastAsia="ru-RU" w:bidi="ro-RO"/>
          </w:rPr>
          <w:t>consiliul@telenesti.md</w:t>
        </w:r>
      </w:hyperlink>
      <w:r w:rsidR="000A3D94" w:rsidRPr="000E7A03">
        <w:rPr>
          <w:rFonts w:ascii="Times New Roman" w:eastAsia="Courier New" w:hAnsi="Times New Roman" w:cs="Times New Roman"/>
          <w:color w:val="000000"/>
          <w:sz w:val="18"/>
          <w:szCs w:val="20"/>
          <w:lang w:val="ro-RO" w:eastAsia="ru-RU" w:bidi="ro-RO"/>
        </w:rPr>
        <w:t xml:space="preserve">, </w:t>
      </w:r>
      <w:hyperlink r:id="rId9" w:history="1">
        <w:r w:rsidR="000A3D94" w:rsidRPr="000E7A03">
          <w:rPr>
            <w:rFonts w:ascii="Times New Roman" w:eastAsia="Courier New" w:hAnsi="Times New Roman" w:cs="Times New Roman"/>
            <w:color w:val="0000FF"/>
            <w:sz w:val="18"/>
            <w:szCs w:val="20"/>
            <w:u w:val="single"/>
            <w:lang w:val="ro-RO" w:eastAsia="ru-RU" w:bidi="ro-RO"/>
          </w:rPr>
          <w:t>posta@telenesti.md</w:t>
        </w:r>
      </w:hyperlink>
      <w:r w:rsidR="000A3D94" w:rsidRPr="000E7A03">
        <w:rPr>
          <w:rFonts w:ascii="Times New Roman" w:eastAsia="Calibri" w:hAnsi="Times New Roman" w:cs="Times New Roman"/>
          <w:color w:val="000000"/>
          <w:lang w:val="ro-RO" w:bidi="ro-RO"/>
        </w:rPr>
        <w:tab/>
      </w:r>
      <w:r w:rsidR="000A3D94" w:rsidRPr="000E7A03">
        <w:rPr>
          <w:rFonts w:ascii="Times New Roman" w:eastAsia="Courier New" w:hAnsi="Times New Roman" w:cs="Times New Roman"/>
          <w:color w:val="0000FF"/>
          <w:sz w:val="18"/>
          <w:szCs w:val="20"/>
          <w:u w:val="single"/>
          <w:lang w:val="ro-RO" w:eastAsia="ru-RU" w:bidi="ro-RO"/>
        </w:rPr>
        <w:t xml:space="preserve">                                                      </w:t>
      </w:r>
    </w:p>
    <w:p w:rsidR="000A3D94" w:rsidRPr="000E7A03" w:rsidRDefault="00A72781" w:rsidP="000A3D9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A72781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pict>
          <v:rect id="_x0000_i1025" style="width:488.9pt;height:1.75pt" o:hrpct="958" o:hralign="center" o:hrstd="t" o:hr="t" fillcolor="#a0a0a0" stroked="f"/>
        </w:pict>
      </w:r>
    </w:p>
    <w:p w:rsidR="000A3D94" w:rsidRPr="000E7A03" w:rsidRDefault="000A3D94" w:rsidP="000A3D9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6"/>
          <w:szCs w:val="24"/>
          <w:lang w:val="ro-RO" w:eastAsia="ro-RO" w:bidi="ro-RO"/>
        </w:rPr>
      </w:pPr>
      <w:r w:rsidRPr="000E7A0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</w:p>
    <w:p w:rsidR="000A3D94" w:rsidRPr="000E7A03" w:rsidRDefault="00785F07" w:rsidP="000A3D9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  </w:t>
      </w:r>
    </w:p>
    <w:p w:rsidR="000A3D94" w:rsidRPr="000E7A03" w:rsidRDefault="000A3D94" w:rsidP="000A3D9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0E7A03">
        <w:rPr>
          <w:rFonts w:ascii="Times New Roman" w:eastAsia="Courier New" w:hAnsi="Times New Roman" w:cs="Times New Roman"/>
          <w:b/>
          <w:color w:val="000000"/>
          <w:sz w:val="28"/>
          <w:szCs w:val="28"/>
          <w:lang w:val="ro-RO" w:eastAsia="ro-RO" w:bidi="ro-RO"/>
        </w:rPr>
        <w:t xml:space="preserve">DECIZIE nr. </w:t>
      </w:r>
      <w:r w:rsidR="00714497">
        <w:rPr>
          <w:rFonts w:ascii="Times New Roman" w:eastAsia="Courier New" w:hAnsi="Times New Roman" w:cs="Times New Roman"/>
          <w:b/>
          <w:color w:val="000000"/>
          <w:sz w:val="28"/>
          <w:szCs w:val="28"/>
          <w:lang w:val="ro-RO" w:eastAsia="ro-RO" w:bidi="ro-RO"/>
        </w:rPr>
        <w:t>3/</w:t>
      </w:r>
      <w:r w:rsidR="00785F07">
        <w:rPr>
          <w:rFonts w:ascii="Times New Roman" w:eastAsia="Courier New" w:hAnsi="Times New Roman" w:cs="Times New Roman"/>
          <w:b/>
          <w:color w:val="000000"/>
          <w:sz w:val="28"/>
          <w:szCs w:val="28"/>
          <w:lang w:val="ro-RO" w:eastAsia="ro-RO" w:bidi="ro-RO"/>
        </w:rPr>
        <w:t>1</w:t>
      </w:r>
    </w:p>
    <w:p w:rsidR="000A3D94" w:rsidRPr="000E7A03" w:rsidRDefault="000A3D94" w:rsidP="000A3D9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</w:pPr>
      <w:r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  <w:t xml:space="preserve">din   </w:t>
      </w:r>
      <w:r w:rsidR="00123DE7"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  <w:t xml:space="preserve">25 </w:t>
      </w:r>
      <w:r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  <w:t>mai 2017</w:t>
      </w:r>
      <w:r w:rsidRPr="000E7A03"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  <w:t xml:space="preserve">                                                                                                          </w:t>
      </w:r>
    </w:p>
    <w:p w:rsidR="000A3D94" w:rsidRPr="000E7A03" w:rsidRDefault="000A3D94" w:rsidP="000A3D9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8"/>
          <w:lang w:val="ro-RO" w:eastAsia="ro-RO" w:bidi="ro-RO"/>
        </w:rPr>
      </w:pPr>
    </w:p>
    <w:p w:rsidR="000A3D94" w:rsidRPr="00D07137" w:rsidRDefault="000A3D94" w:rsidP="000A3D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,,Cu privire la organizarea  odihnei şi </w:t>
      </w:r>
    </w:p>
    <w:p w:rsidR="000A3D94" w:rsidRPr="00D07137" w:rsidRDefault="000A3D94" w:rsidP="000A3D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întremării copiilor şi adolescenţilor </w:t>
      </w:r>
    </w:p>
    <w:p w:rsidR="000A3D94" w:rsidRPr="00D07137" w:rsidRDefault="000A3D94" w:rsidP="000A3D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în sezonul estival 201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7</w:t>
      </w: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”</w:t>
      </w: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</w:p>
    <w:p w:rsidR="000A3D94" w:rsidRPr="00D07137" w:rsidRDefault="000A3D94" w:rsidP="000A3D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A3D94" w:rsidRPr="00102484" w:rsidRDefault="000A3D94" w:rsidP="000A3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       În  scopul  asigurării odihnei şi întremării copiilor şi adolescenţilor din raion în sezonul estival  201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7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 în conformitate cu prevederile art. art. 36, 37 al Codului Educației a Republicii Moldova</w:t>
      </w:r>
      <w:r w:rsidRPr="00D07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,</w:t>
      </w:r>
      <w:r w:rsidR="00102484" w:rsidRPr="001024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="001024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Hotărîrii</w:t>
      </w:r>
      <w:proofErr w:type="spellEnd"/>
      <w:r w:rsidR="001024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Guvernului n</w:t>
      </w:r>
      <w:r w:rsidR="00102484" w:rsidRPr="001024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r. 334 din  23.04.2009</w:t>
      </w:r>
      <w:r w:rsidR="00102484" w:rsidRPr="0010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102484" w:rsidRPr="00102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cu privire la aprobarea Regulamentului de funcţionare a taberelor de odihnă şi întremare a sănătăţii copiilor şi adolescenţilor</w:t>
      </w:r>
      <w:r w:rsidR="0010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,</w:t>
      </w:r>
      <w:r w:rsidRPr="00D07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 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Ordinul Ministerului Educaţiei nr. 479 din 15 mai 2006  „Cu privire la punerea în aplicaţie a Regulamentului de funcţionare a taberelor de odihnă şi întremare a sănătăţii copiilor şi adolescenţilor”, art. 12 al. (2) al Legii nr. 388-XIII din 15.12.1994 privind drepturile copilului,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785F0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consultând proiectul Hotărârii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</w:t>
      </w:r>
      <w:r w:rsidR="00785F0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vernului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785F0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„C</w:t>
      </w:r>
      <w:r w:rsidRPr="00A25B8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u privire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la organizarea odihnei de vară </w:t>
      </w:r>
      <w:r w:rsidRPr="00A25B8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 copiilor şi adoles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cenţilor în sezonul estival 2017</w:t>
      </w:r>
      <w:r w:rsidR="00785F0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av</w:t>
      </w:r>
      <w:r w:rsidR="00785F0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ând avizul pozitiv al Comisiei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consultative pentru 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probleme sociale în temeiul art. art. 43(1) lit.,,i”, 46 al. (1) al Legii nr 4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36-XVI din 28.12.2006, privind administraţia p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ublică locală, Consiliul raional,</w:t>
      </w:r>
    </w:p>
    <w:p w:rsidR="000A3D94" w:rsidRPr="00D07137" w:rsidRDefault="000A3D94" w:rsidP="000A3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DECIDE:</w:t>
      </w:r>
    </w:p>
    <w:p w:rsidR="000A3D94" w:rsidRPr="00D07137" w:rsidRDefault="000A3D94" w:rsidP="002A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A3D94" w:rsidRPr="00AD0CF4" w:rsidRDefault="002A6CC3" w:rsidP="00AD0CF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.Se aprobă </w:t>
      </w:r>
      <w:r w:rsidR="00AD0CF4">
        <w:rPr>
          <w:rFonts w:ascii="Times New Roman" w:hAnsi="Times New Roman" w:cs="Times New Roman"/>
          <w:sz w:val="26"/>
          <w:szCs w:val="26"/>
          <w:lang w:val="ro-RO"/>
        </w:rPr>
        <w:t>d</w:t>
      </w:r>
      <w:r w:rsidR="00AD0CF4" w:rsidRPr="00AD0CF4">
        <w:rPr>
          <w:rFonts w:ascii="Times New Roman" w:hAnsi="Times New Roman" w:cs="Times New Roman"/>
          <w:sz w:val="26"/>
          <w:szCs w:val="26"/>
          <w:lang w:val="ro-RO"/>
        </w:rPr>
        <w:t xml:space="preserve">istribuirea numerică a beneficiarelor pe schimburi </w:t>
      </w:r>
      <w:r w:rsidR="00AD0CF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şi orarul activităţii taberelor </w:t>
      </w:r>
      <w:r w:rsidR="00AD0CF4" w:rsidRPr="00AD0CF4">
        <w:rPr>
          <w:rFonts w:ascii="Times New Roman" w:hAnsi="Times New Roman" w:cs="Times New Roman"/>
          <w:sz w:val="26"/>
          <w:szCs w:val="26"/>
          <w:lang w:val="ro-RO"/>
        </w:rPr>
        <w:t xml:space="preserve"> cu regim staționar în sezonul estival 2017</w:t>
      </w:r>
      <w:r w:rsidR="00AD0C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conform anexei nr. 1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10248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Programul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activităţilor în sezonul estival 201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7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urmează a fi aprobat de către directorii tab</w:t>
      </w:r>
      <w:r w:rsidR="00757DA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erelor de odihnă şi coordonat cu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şeful Direcţiei Generale Educaţie, </w:t>
      </w:r>
      <w:r w:rsidR="00AD0CF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cu cel puţin 5 zile </w:t>
      </w:r>
      <w:proofErr w:type="spellStart"/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pînă</w:t>
      </w:r>
      <w:proofErr w:type="spellEnd"/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la data începerii </w:t>
      </w:r>
      <w:r w:rsidR="00757DA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schimburilor conform orarului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aprobat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0A3D94" w:rsidRPr="00D07137" w:rsidRDefault="002A6CC3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cazul în care se vor recepţiona un număr sporit de solicitări privind odihna copiilor în taberele staţionare, şeful Direcţiei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Generale</w:t>
      </w:r>
      <w:r w:rsidR="006C6A3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Educaţie prin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coordonare cu Preşedintele raionului, va modifica programul de activitate, incluzând schimbul cinci, fără a se emite o nouă decizie în acest sens. </w:t>
      </w:r>
    </w:p>
    <w:p w:rsidR="000A3D94" w:rsidRPr="00D07137" w:rsidRDefault="00332F19" w:rsidP="002A6C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 Se aprobă  costul integral al unui bilet de odihnă în taberele sta</w:t>
      </w:r>
      <w:r w:rsidR="000A3D94" w:rsidRPr="00D07137">
        <w:rPr>
          <w:rFonts w:ascii="Cambria Math" w:eastAsia="Times New Roman" w:hAnsi="Cambria Math" w:cs="Cambria Math"/>
          <w:sz w:val="26"/>
          <w:szCs w:val="26"/>
          <w:lang w:val="ro-RO" w:eastAsia="ru-RU"/>
        </w:rPr>
        <w:t>ț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ionare, în valoare de </w:t>
      </w:r>
      <w:r w:rsidR="002A6CC3">
        <w:rPr>
          <w:rFonts w:ascii="Times New Roman" w:eastAsia="Calibri" w:hAnsi="Times New Roman" w:cs="Times New Roman"/>
          <w:b/>
          <w:sz w:val="26"/>
          <w:szCs w:val="26"/>
          <w:lang w:val="ro-RO"/>
        </w:rPr>
        <w:t>1637</w:t>
      </w:r>
      <w:r w:rsidR="000A3D94" w:rsidRPr="002A6CC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lei</w:t>
      </w:r>
      <w:r w:rsidR="000A3D94" w:rsidRPr="00D0713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(una mie </w:t>
      </w:r>
      <w:r w:rsidR="00300E00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şase sute treizeci ş</w:t>
      </w:r>
      <w:r w:rsidR="000A3D94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i</w:t>
      </w:r>
      <w:r w:rsidR="00300E00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şapte</w:t>
      </w:r>
      <w:r w:rsidR="000A3D94" w:rsidRPr="00D0713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)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lei, din care părinţii vor achita </w:t>
      </w:r>
      <w:r w:rsidR="000A3D94" w:rsidRPr="0082644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20%,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în sumă ce constituie </w:t>
      </w:r>
      <w:r w:rsidR="0082644F" w:rsidRPr="0082644F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327.4</w:t>
      </w:r>
      <w:r w:rsidR="000A3D94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(trei sute </w:t>
      </w:r>
      <w:r w:rsidR="0082644F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douăzeci şi </w:t>
      </w:r>
      <w:r w:rsidR="000A3D94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şapte</w:t>
      </w:r>
      <w:r w:rsidR="000A3D94" w:rsidRPr="00D0713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)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lei din costul integral al biletului, restul fiind compensat  din bugetul Consiliului Raional.</w:t>
      </w:r>
    </w:p>
    <w:p w:rsidR="000A3D94" w:rsidRPr="00D07137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 Se aprobă oferirea gratuită a 25%  (sau 256 bilete) din totalul biletelor repartizate în taberele de odihnă şi întremare a sănătăţii copiilor şi adolescenţilor, următoarelor categorii de copii: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a) </w:t>
      </w: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orfani;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b)  din familii monoparentale;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c) din familii defavorizate;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d) din familii cu 3 şi mai mulţi copii școlarizați;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lastRenderedPageBreak/>
        <w:t>e) aflaţi sub tutelă/curatelă;    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f) plasaţi în servicii de tip familial                    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g) plasaţi în centre de plasament temporar;           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h) din familii în care ambii părinţi sunt cu dezabilităţi;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 i) din familii în care ambii părinţi sunt pensionari;</w:t>
      </w:r>
    </w:p>
    <w:p w:rsidR="000A3D94" w:rsidRPr="00D07137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j) elevii participanţi la olimpiadele raionale şi republicane care s-au clasat pe locurile I, II şi III şi cei care au finisat anul de studii cu media generală anuală de cel puţin 9,5.</w:t>
      </w:r>
    </w:p>
    <w:p w:rsidR="000A3D94" w:rsidRDefault="000A3D94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k)</w:t>
      </w:r>
      <w:r w:rsidR="002202F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grupuri de elevi (</w:t>
      </w:r>
      <w:proofErr w:type="spellStart"/>
      <w:r w:rsidR="002202F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pînă</w:t>
      </w:r>
      <w:proofErr w:type="spellEnd"/>
      <w:r w:rsidR="002202F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la 25 de copii) din străinătate</w:t>
      </w:r>
      <w:r w:rsidR="00332F1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,</w:t>
      </w:r>
      <w:r w:rsidR="002202F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originari din localităţile cu care sunt semnate acorduri de colaborare la nivel raional.</w:t>
      </w:r>
    </w:p>
    <w:p w:rsidR="002202F9" w:rsidRPr="00D07137" w:rsidRDefault="002202F9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l)</w:t>
      </w:r>
      <w:r w:rsidRPr="002202F9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copii solicitanţilor de azil, refugiaţilor recunoscuţi în RM;</w:t>
      </w:r>
    </w:p>
    <w:p w:rsidR="000A3D94" w:rsidRPr="00D07137" w:rsidRDefault="002202F9" w:rsidP="000A3D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m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) copii cu dezabilităţi şi însoţitorii lor; </w:t>
      </w:r>
    </w:p>
    <w:p w:rsidR="000A3D94" w:rsidRPr="00D07137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4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Biletele gratuite cât şi cele contra cost vor fi repartizate pe instituţii de către Direcţia</w:t>
      </w:r>
      <w:r w:rsidR="000A3D94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Generală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Educ</w:t>
      </w:r>
      <w:r w:rsidR="000A3D94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aţie, raportat la numărul de elevi din instituţie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 În instituţiile</w:t>
      </w:r>
      <w:r w:rsidR="000A3D94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preuniversitare din raion biletele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de odihnă gratuite, cât şi cele cu plată vor fi repartizate la propunerea Consiliului profesoral al instituţiei, în baza cererii părinţilor sau tutorelui, iar pentru categor</w:t>
      </w:r>
      <w:r w:rsidR="0071449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iile sociale prevăzute la pct. 4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, </w:t>
      </w:r>
      <w:r w:rsidR="000A3D94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conform actelor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care confirmă statutul respectiv.</w:t>
      </w:r>
    </w:p>
    <w:p w:rsidR="000A3D94" w:rsidRPr="00D07137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4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În cazul înregistrării unui număr mai mare de cereri din partea categoriilor sociale menţionate  care solicită scutirea  de 100% din costul biletului de odihnă, se va aplica principiul „primul venit, primul servit” în perioada de colectare a tuturor  cererilor pentru fiecare schimb, înregistrate în registrul de evidenţă a cererilor.</w:t>
      </w:r>
    </w:p>
    <w:p w:rsidR="000A3D94" w:rsidRPr="00D07137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4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Scutirea a 100% din costul biletului de odihnă pentru categoriile de beneficiari menţionate mai sus urmează a fi atribuită de către Comisia pentru organizarea odihnei şi întremării copiilor şi adolescenţilor în sezonul estival 201</w:t>
      </w:r>
      <w:r w:rsidR="0071449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7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, în baza actelor confirmative. </w:t>
      </w:r>
    </w:p>
    <w:p w:rsidR="002A6CC3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5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Se aprobă scutirea angajaţilor din tabere 100% de plată pentru cazare şi alimentare, 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cheltuielile vor fi suportate de către Consiliul raional</w:t>
      </w:r>
      <w:r w:rsidR="002A6CC3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.</w:t>
      </w:r>
    </w:p>
    <w:p w:rsidR="000A3D94" w:rsidRDefault="00332F19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6.</w:t>
      </w:r>
      <w:r w:rsidR="000A3D94" w:rsidRPr="00D0713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2A6CC3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Se aprobă componenţa  nominală a comisiei  pentru organizarea odihnei şi întremării copiilor şi adolescenţilor în </w:t>
      </w:r>
      <w:r w:rsidR="002A6CC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taberele </w:t>
      </w:r>
      <w:r w:rsidR="002A6CC3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Crăsnăşeni, Ordăşei, Mândreşti</w:t>
      </w:r>
      <w:r w:rsidR="002A6CC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</w:t>
      </w:r>
      <w:r w:rsidR="002A6CC3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sezonul estival 201</w:t>
      </w:r>
      <w:r w:rsidR="002A6CC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7</w:t>
      </w:r>
      <w:r w:rsidR="0071449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conform anexei nr. 2</w:t>
      </w:r>
      <w:r w:rsidR="002A6CC3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2A6CC3" w:rsidRDefault="00332F19" w:rsidP="000A3D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7. </w:t>
      </w:r>
      <w:r w:rsidR="002A6CC3" w:rsidRPr="002A6CC3">
        <w:rPr>
          <w:rFonts w:ascii="Times New Roman" w:hAnsi="Times New Roman" w:cs="Times New Roman"/>
          <w:color w:val="000000"/>
          <w:sz w:val="26"/>
          <w:szCs w:val="26"/>
          <w:lang w:val="ro-RO"/>
        </w:rPr>
        <w:t>Se stabileşte că, în caz de eliberare din funcţiile deţinute a m</w:t>
      </w:r>
      <w:r w:rsidR="002A6CC3">
        <w:rPr>
          <w:rFonts w:ascii="Times New Roman" w:hAnsi="Times New Roman" w:cs="Times New Roman"/>
          <w:color w:val="000000"/>
          <w:sz w:val="26"/>
          <w:szCs w:val="26"/>
          <w:lang w:val="ro-RO"/>
        </w:rPr>
        <w:t>embrilor Comisiei raionale</w:t>
      </w:r>
      <w:r w:rsidR="002A6CC3" w:rsidRPr="002A6CC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pentru organizarea şi monitorizarea odihnei de vară pentru copii şi adolescenţi  în sezonul estival, funcţiile acestora vor fi exercitate de persoanele nou-desemnate în posturile respective,</w:t>
      </w:r>
      <w:r w:rsidR="002A6CC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fără emiterea unei noi decizii a Consiliului raional</w:t>
      </w:r>
      <w:r w:rsidR="002A6CC3" w:rsidRPr="002A6CC3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714497" w:rsidRPr="002A6CC3" w:rsidRDefault="00714497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0A3D94" w:rsidRPr="00332F19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</w:pPr>
      <w:r w:rsidRPr="00332F1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8.</w:t>
      </w:r>
      <w:r w:rsidRPr="00332F19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 xml:space="preserve"> Direcţia Generală Educaţie:</w:t>
      </w:r>
    </w:p>
    <w:p w:rsidR="000A3D94" w:rsidRPr="00D07137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a) va asigura  completarea  cu personal didactic ţinând cont de prevederile actelor  normative în vigoare;</w:t>
      </w:r>
    </w:p>
    <w:p w:rsidR="000A3D94" w:rsidRPr="00D07137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b) va asigura baza tehnico-materială a taberelor de odihnă pentru buna activitate în sezonul estival;</w:t>
      </w:r>
    </w:p>
    <w:p w:rsidR="000A3D94" w:rsidRPr="00D07137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c) va informa conducătorii taberelor despre avizul comisiei de funcţionare a taberei;</w:t>
      </w:r>
    </w:p>
    <w:p w:rsidR="000A3D94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d) va monitoriza procesul educaţional şi corectitudinea  aplicării scutirilor adm</w:t>
      </w:r>
      <w:r w:rsidR="0071449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ise conform prevederilor p-lor 4 - 5</w:t>
      </w:r>
      <w:r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ale  prezentei decizii.</w:t>
      </w:r>
    </w:p>
    <w:p w:rsidR="00714497" w:rsidRDefault="00714497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714497" w:rsidRDefault="00714497" w:rsidP="00714497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9. </w:t>
      </w:r>
      <w:r w:rsidRPr="00714497">
        <w:rPr>
          <w:rFonts w:ascii="Times New Roman" w:hAnsi="Times New Roman" w:cs="Times New Roman"/>
          <w:color w:val="000000"/>
          <w:sz w:val="26"/>
          <w:szCs w:val="26"/>
          <w:u w:val="single"/>
          <w:lang w:val="ro-RO"/>
        </w:rPr>
        <w:t>Direcţia raională</w:t>
      </w:r>
      <w:r w:rsidR="00332F19" w:rsidRPr="00714497">
        <w:rPr>
          <w:rFonts w:ascii="Times New Roman" w:hAnsi="Times New Roman" w:cs="Times New Roman"/>
          <w:color w:val="000000"/>
          <w:sz w:val="26"/>
          <w:szCs w:val="26"/>
          <w:u w:val="single"/>
          <w:lang w:val="ro-RO"/>
        </w:rPr>
        <w:t xml:space="preserve"> </w:t>
      </w:r>
      <w:r w:rsidRPr="00714497">
        <w:rPr>
          <w:rFonts w:ascii="Times New Roman" w:hAnsi="Times New Roman" w:cs="Times New Roman"/>
          <w:color w:val="000000"/>
          <w:sz w:val="26"/>
          <w:szCs w:val="26"/>
          <w:u w:val="single"/>
          <w:lang w:val="ro-RO"/>
        </w:rPr>
        <w:t>pentru Siguranţa Alimentelor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va</w:t>
      </w:r>
      <w:r w:rsidR="00332F19" w:rsidRPr="00332F19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monitoriza, potrivit competenţelor, supravegherea calităţii şi inofensivităţii produselor alimentare achiziţionate pentru alimentaţia copiilor în tabere de odihnă şi întremare a sănătăț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ii copiilor şi adolescenţilor.</w:t>
      </w:r>
    </w:p>
    <w:p w:rsidR="000A3D94" w:rsidRPr="00714497" w:rsidRDefault="00714497" w:rsidP="00714497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10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  <w:r w:rsidR="000A3D94" w:rsidRPr="00332F19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>Centru de Sănătate Publică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va efectua supravegherea sanitaro – epidemiologică a taberelor în perioada  pretestării, deschiderii şi funcţionării, conform prevederilor legislaţiei în vigoare.</w:t>
      </w:r>
    </w:p>
    <w:p w:rsidR="000A3D94" w:rsidRPr="00D07137" w:rsidRDefault="00714497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11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  <w:r w:rsidR="000A3D94" w:rsidRPr="00332F19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>Inspectoratul raional de poliţie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va asigura  menţinerea ordinei publice  pe teritoriul taberelor.</w:t>
      </w:r>
    </w:p>
    <w:p w:rsidR="000A3D94" w:rsidRPr="00D07137" w:rsidRDefault="00714497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12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Executarea prezentei decizii se pune în seama </w:t>
      </w:r>
      <w:r w:rsidR="000A3D94" w:rsidRPr="00D07137">
        <w:rPr>
          <w:rFonts w:ascii="Cambria Math" w:eastAsia="Times New Roman" w:hAnsi="Cambria Math" w:cs="Cambria Math"/>
          <w:sz w:val="26"/>
          <w:szCs w:val="26"/>
          <w:lang w:val="ro-RO" w:eastAsia="ru-RU"/>
        </w:rPr>
        <w:t>ș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efului Direc</w:t>
      </w:r>
      <w:r w:rsidR="000A3D94" w:rsidRPr="00D07137">
        <w:rPr>
          <w:rFonts w:ascii="Cambria Math" w:eastAsia="Times New Roman" w:hAnsi="Cambria Math" w:cs="Cambria Math"/>
          <w:sz w:val="26"/>
          <w:szCs w:val="26"/>
          <w:lang w:val="ro-RO" w:eastAsia="ru-RU"/>
        </w:rPr>
        <w:t>ț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iei </w:t>
      </w:r>
      <w:r w:rsidR="000A3D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Generale 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Educa</w:t>
      </w:r>
      <w:r w:rsidR="000A3D94" w:rsidRPr="00D07137">
        <w:rPr>
          <w:rFonts w:ascii="Cambria Math" w:eastAsia="Times New Roman" w:hAnsi="Cambria Math" w:cs="Cambria Math"/>
          <w:sz w:val="26"/>
          <w:szCs w:val="26"/>
          <w:lang w:val="ro-RO" w:eastAsia="ru-RU"/>
        </w:rPr>
        <w:t>ț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ie şi şefului Direcţiei Finanţe.</w:t>
      </w:r>
    </w:p>
    <w:p w:rsidR="000A3D94" w:rsidRDefault="00714497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13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 Controlul asupra executării  prevederilor prezentei decizii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se pune în seama Vicepreşedintelui pentru probleme sociale</w:t>
      </w:r>
      <w:r w:rsidR="000A3D94" w:rsidRPr="00D0713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0A3D94" w:rsidRPr="00182AA7" w:rsidRDefault="000A3D94" w:rsidP="000A3D94">
      <w:pPr>
        <w:tabs>
          <w:tab w:val="left" w:pos="426"/>
          <w:tab w:val="right" w:pos="92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714497">
        <w:rPr>
          <w:rFonts w:ascii="Times New Roman" w:eastAsia="Calibri" w:hAnsi="Times New Roman" w:cs="Times New Roman"/>
          <w:sz w:val="26"/>
          <w:szCs w:val="26"/>
          <w:lang w:val="ro-RO"/>
        </w:rPr>
        <w:t>14</w:t>
      </w:r>
      <w:r w:rsidRPr="00182AA7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Pr="00182AA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Prezenta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urmează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fi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adusă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cunoştinţa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persoanelor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vizate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şi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intră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data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publicării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pe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site-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ul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oficial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hyperlink r:id="rId10" w:history="1">
        <w:r w:rsidRPr="00182AA7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www.telenesti.md</w:t>
        </w:r>
      </w:hyperlink>
      <w:r w:rsidRPr="00182AA7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 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şi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proofErr w:type="gram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sau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site</w:t>
      </w:r>
      <w:proofErr w:type="gramEnd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proofErr w:type="spellStart"/>
      <w:r w:rsidRPr="00182AA7">
        <w:rPr>
          <w:rFonts w:ascii="Times New Roman" w:eastAsia="Times New Roman" w:hAnsi="Times New Roman" w:cs="Times New Roman"/>
          <w:sz w:val="26"/>
          <w:szCs w:val="26"/>
          <w:lang w:val="en-US"/>
        </w:rPr>
        <w:t>ul</w:t>
      </w:r>
      <w:proofErr w:type="spellEnd"/>
      <w:r w:rsidRPr="00182AA7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 </w:t>
      </w:r>
      <w:hyperlink r:id="rId11" w:history="1">
        <w:r w:rsidRPr="00182AA7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www.actelocale.md</w:t>
        </w:r>
      </w:hyperlink>
      <w:r w:rsidRPr="00182AA7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.</w:t>
      </w:r>
    </w:p>
    <w:p w:rsidR="000A3D94" w:rsidRPr="00182AA7" w:rsidRDefault="000A3D94" w:rsidP="000A3D94">
      <w:pPr>
        <w:tabs>
          <w:tab w:val="left" w:pos="993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182AA7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182AA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</w:p>
    <w:p w:rsidR="000A3D94" w:rsidRPr="00D07137" w:rsidRDefault="000A3D94" w:rsidP="000A3D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A3D94" w:rsidRPr="00D07137" w:rsidRDefault="000A3D94" w:rsidP="000A3D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D0713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Preşedintele şedinţei                                   </w:t>
      </w:r>
      <w:r w:rsidR="00785F0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</w:t>
      </w:r>
      <w:r w:rsidRPr="00D0713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</w:t>
      </w:r>
      <w:r w:rsidR="00785F0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Valentin Vetrilă</w:t>
      </w:r>
    </w:p>
    <w:p w:rsidR="000A3D94" w:rsidRPr="00D07137" w:rsidRDefault="000A3D94" w:rsidP="000A3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0A3D94" w:rsidRDefault="000A3D94" w:rsidP="000A3D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D07137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Secretarul Consiliului raional                                        Sergiu Lazăr</w:t>
      </w:r>
    </w:p>
    <w:p w:rsidR="000A3D94" w:rsidRDefault="000A3D94" w:rsidP="000A3D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0A3D94" w:rsidRDefault="000A3D94" w:rsidP="000A3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0A3D94" w:rsidRPr="00162943" w:rsidRDefault="00714497" w:rsidP="000A3D94">
      <w:pPr>
        <w:tabs>
          <w:tab w:val="left" w:pos="84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Anexa nr .2</w:t>
      </w:r>
    </w:p>
    <w:p w:rsidR="000A3D94" w:rsidRPr="00162943" w:rsidRDefault="000A3D94" w:rsidP="000A3D94">
      <w:pPr>
        <w:tabs>
          <w:tab w:val="left" w:pos="84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la decizia nr. </w:t>
      </w:r>
      <w:r w:rsidR="00785F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3/1</w:t>
      </w: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din </w:t>
      </w:r>
      <w:r w:rsidR="00123DE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mai</w:t>
      </w: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201</w:t>
      </w:r>
      <w:r w:rsidR="0071449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7</w:t>
      </w:r>
    </w:p>
    <w:p w:rsidR="000A3D94" w:rsidRPr="00162943" w:rsidRDefault="000A3D94" w:rsidP="000A3D94">
      <w:pPr>
        <w:tabs>
          <w:tab w:val="left" w:pos="846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tabs>
          <w:tab w:val="left" w:pos="846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tabs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Comisia raională nominală pentru organizarea odihnei, întremării</w:t>
      </w:r>
    </w:p>
    <w:p w:rsidR="000A3D94" w:rsidRPr="00162943" w:rsidRDefault="000A3D94" w:rsidP="000A3D94">
      <w:pPr>
        <w:tabs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copiilor şi adolescenţilor în sezonul estival 201</w:t>
      </w:r>
      <w:r w:rsidR="00D57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7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numPr>
          <w:ilvl w:val="0"/>
          <w:numId w:val="1"/>
        </w:num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Ecaterina Furculiţă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– </w:t>
      </w:r>
      <w:r w:rsidRPr="001629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ar-SA"/>
        </w:rPr>
        <w:t>Preşedintele comisiei</w:t>
      </w:r>
      <w:r w:rsidRPr="001629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V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icepreşedintele raionului</w:t>
      </w:r>
    </w:p>
    <w:p w:rsidR="000A3D94" w:rsidRPr="00162943" w:rsidRDefault="000A3D94" w:rsidP="000A3D94">
      <w:pPr>
        <w:numPr>
          <w:ilvl w:val="0"/>
          <w:numId w:val="1"/>
        </w:num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Eugenia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Ioxa</w:t>
      </w:r>
      <w:proofErr w:type="spellEnd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– </w:t>
      </w:r>
      <w:r w:rsidRPr="001629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ar-SA"/>
        </w:rPr>
        <w:t>Vicepreşedintele al comisiei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, Şef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G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E Teleneşti</w:t>
      </w:r>
    </w:p>
    <w:p w:rsidR="000A3D94" w:rsidRPr="00162943" w:rsidRDefault="000A3D94" w:rsidP="000A3D94">
      <w:pPr>
        <w:numPr>
          <w:ilvl w:val="0"/>
          <w:numId w:val="1"/>
        </w:num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Maria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Vleju</w:t>
      </w:r>
      <w:proofErr w:type="spellEnd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– </w:t>
      </w:r>
      <w:r w:rsidRPr="001629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ar-SA"/>
        </w:rPr>
        <w:t>Secretarul comisiei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Şef-adjunct 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G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Teleneşti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ar-SA"/>
        </w:rPr>
      </w:pPr>
    </w:p>
    <w:p w:rsidR="000A3D94" w:rsidRPr="00162943" w:rsidRDefault="000A3D94" w:rsidP="000A3D94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ar-SA"/>
        </w:rPr>
      </w:pPr>
      <w:r w:rsidRPr="001629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ar-SA"/>
        </w:rPr>
        <w:t>Membrii Comisiei:</w:t>
      </w:r>
    </w:p>
    <w:p w:rsidR="000A3D94" w:rsidRPr="00162943" w:rsidRDefault="000A3D94" w:rsidP="000A3D94">
      <w:pPr>
        <w:tabs>
          <w:tab w:val="left" w:pos="336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1. Manole Eugen – Medic Şef C.S.P.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2. Sârbu Angela – Şef DASPF Telene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ș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ti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3. </w:t>
      </w:r>
      <w:proofErr w:type="spellStart"/>
      <w:r w:rsidR="00D578F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Guzun</w:t>
      </w:r>
      <w:proofErr w:type="spellEnd"/>
      <w:r w:rsidR="00D578F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Alexandru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– 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Ș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eful sec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ț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iei securitate publică I.P.T.</w:t>
      </w:r>
    </w:p>
    <w:p w:rsidR="000A3D94" w:rsidRPr="00162943" w:rsidRDefault="000A3D94" w:rsidP="000A3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629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4. Darii Ludmila – </w:t>
      </w:r>
      <w:r w:rsidRPr="00162943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629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ef Direc</w:t>
      </w:r>
      <w:r w:rsidRPr="00162943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629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Finan</w:t>
      </w:r>
      <w:r w:rsidRPr="00162943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629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e.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5. </w:t>
      </w:r>
      <w:proofErr w:type="spellStart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Macari</w:t>
      </w:r>
      <w:proofErr w:type="spellEnd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Valeriu – Şef Direc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ț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ia Agricultură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6. Casian Pavel – 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Ș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ef sec</w:t>
      </w:r>
      <w:r w:rsidRPr="00162943">
        <w:rPr>
          <w:rFonts w:ascii="Cambria Math" w:eastAsia="Times New Roman" w:hAnsi="Cambria Math" w:cs="Cambria Math"/>
          <w:color w:val="000000"/>
          <w:sz w:val="28"/>
          <w:szCs w:val="28"/>
          <w:lang w:val="ro-RO" w:eastAsia="ar-SA"/>
        </w:rPr>
        <w:t>ț</w:t>
      </w: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ia cultură, tineret şi sport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7. </w:t>
      </w:r>
      <w:proofErr w:type="spellStart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Şpac</w:t>
      </w:r>
      <w:proofErr w:type="spellEnd"/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Zinaida – Preşedintele Consiliului Raional  al Sindicatelor Educaţiei şi Ştiinţei.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8. Veşca Ion – şef Secţia Situaţii Excepţionale;</w:t>
      </w:r>
    </w:p>
    <w:p w:rsidR="000A3D94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9. Andronic Valeriu – şef  al Direcţiei Teritoria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le pentru Siguranţa Alimentelor;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10. Roșca Ion – Inspector de stat în muncă.</w:t>
      </w:r>
    </w:p>
    <w:p w:rsidR="000A3D94" w:rsidRPr="00162943" w:rsidRDefault="000A3D94" w:rsidP="000A3D9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</w:p>
    <w:p w:rsidR="000A3D94" w:rsidRPr="00757DA4" w:rsidRDefault="000A3D94" w:rsidP="000A3D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val="ro-RO" w:eastAsia="ru-RU"/>
        </w:rPr>
      </w:pPr>
      <w:r w:rsidRPr="00757DA4">
        <w:rPr>
          <w:rFonts w:ascii="Times New Roman" w:eastAsia="Times New Roman" w:hAnsi="Times New Roman" w:cs="Times New Roman"/>
          <w:b/>
          <w:i/>
          <w:lang w:val="ro-RO" w:eastAsia="ru-RU"/>
        </w:rPr>
        <w:t xml:space="preserve">*Notă - </w:t>
      </w:r>
      <w:r w:rsidRPr="00757DA4">
        <w:rPr>
          <w:rFonts w:ascii="Times New Roman" w:eastAsia="Times New Roman" w:hAnsi="Times New Roman" w:cs="Times New Roman"/>
          <w:b/>
          <w:i/>
          <w:color w:val="000000"/>
          <w:lang w:val="ro-RO" w:eastAsia="ru-RU"/>
        </w:rPr>
        <w:t>în caz de eliberare din funcţiile publice deţinute a unor membri ai Comisiei respective, atribuţiile lor în cadrul acesteia vor fi exercitate de persoanele nou-desemnate în funcţiile respective, fără a fi aprobată o altă decizie. </w:t>
      </w:r>
      <w:r w:rsidRPr="00757DA4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>”</w:t>
      </w:r>
    </w:p>
    <w:p w:rsidR="00FE4A2B" w:rsidRDefault="00FE4A2B" w:rsidP="000A3D94">
      <w:pPr>
        <w:rPr>
          <w:lang w:val="ro-RO"/>
        </w:rPr>
        <w:sectPr w:rsidR="00FE4A2B" w:rsidSect="00182AA7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FE4A2B" w:rsidRDefault="00FE4A2B" w:rsidP="00FE4A2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Anexa nr 1 la </w:t>
      </w:r>
    </w:p>
    <w:p w:rsidR="00FE4A2B" w:rsidRPr="00162943" w:rsidRDefault="00FE4A2B" w:rsidP="00FE4A2B">
      <w:pPr>
        <w:tabs>
          <w:tab w:val="left" w:pos="84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la decizia nr. </w:t>
      </w:r>
      <w:r w:rsidR="00785F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3/1</w:t>
      </w: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din </w:t>
      </w:r>
      <w:r w:rsidR="00123DE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mai</w:t>
      </w:r>
      <w:r w:rsidRPr="0016294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7</w:t>
      </w:r>
    </w:p>
    <w:p w:rsidR="00FE4A2B" w:rsidRDefault="00FE4A2B" w:rsidP="00FE4A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F225B" w:rsidRPr="002B710F" w:rsidRDefault="00AF225B" w:rsidP="00AF22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B710F">
        <w:rPr>
          <w:rFonts w:ascii="Times New Roman" w:hAnsi="Times New Roman" w:cs="Times New Roman"/>
          <w:b/>
          <w:sz w:val="24"/>
          <w:szCs w:val="24"/>
          <w:lang w:val="en-US"/>
        </w:rPr>
        <w:t>Dis</w:t>
      </w:r>
      <w:r w:rsidRPr="002B710F">
        <w:rPr>
          <w:rFonts w:ascii="Times New Roman" w:hAnsi="Times New Roman" w:cs="Times New Roman"/>
          <w:b/>
          <w:sz w:val="24"/>
          <w:szCs w:val="24"/>
          <w:lang w:val="ro-RO"/>
        </w:rPr>
        <w:t>tribuirea</w:t>
      </w:r>
      <w:proofErr w:type="spellEnd"/>
      <w:r w:rsidRPr="002B71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beneficiarelor de schimburi în taberele cu regim staționar în sezonul estival 2017</w:t>
      </w:r>
    </w:p>
    <w:tbl>
      <w:tblPr>
        <w:tblStyle w:val="GrilTabel"/>
        <w:tblW w:w="0" w:type="auto"/>
        <w:tblLook w:val="04A0"/>
      </w:tblPr>
      <w:tblGrid>
        <w:gridCol w:w="1151"/>
        <w:gridCol w:w="2343"/>
        <w:gridCol w:w="1673"/>
        <w:gridCol w:w="1608"/>
        <w:gridCol w:w="1608"/>
        <w:gridCol w:w="1755"/>
      </w:tblGrid>
      <w:tr w:rsidR="002B710F" w:rsidRPr="00785F07" w:rsidTr="00962BCA">
        <w:tc>
          <w:tcPr>
            <w:tcW w:w="138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N/o </w:t>
            </w:r>
          </w:p>
        </w:tc>
        <w:tc>
          <w:tcPr>
            <w:tcW w:w="3544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Localitatea unde activează tabăra, numărul de telefon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schimburi în sezonul estival 2017</w:t>
            </w:r>
          </w:p>
        </w:tc>
        <w:tc>
          <w:tcPr>
            <w:tcW w:w="2464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copii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schimb</w:t>
            </w:r>
          </w:p>
        </w:tc>
        <w:tc>
          <w:tcPr>
            <w:tcW w:w="2465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total de copii</w:t>
            </w:r>
          </w:p>
        </w:tc>
        <w:tc>
          <w:tcPr>
            <w:tcW w:w="2465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mijloacelor financiare alocate din bugetul local mii lei</w:t>
            </w:r>
          </w:p>
        </w:tc>
      </w:tr>
      <w:tr w:rsidR="002B710F" w:rsidTr="00962BCA">
        <w:tc>
          <w:tcPr>
            <w:tcW w:w="1384" w:type="dxa"/>
          </w:tcPr>
          <w:p w:rsidR="002B710F" w:rsidRPr="007A13FE" w:rsidRDefault="002B710F" w:rsidP="002B710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Satul Crăsnășeni</w:t>
            </w:r>
          </w:p>
          <w:p w:rsidR="002B710F" w:rsidRPr="007A13FE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0258-93-0-27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769,3</w:t>
            </w:r>
          </w:p>
        </w:tc>
      </w:tr>
      <w:tr w:rsidR="002B710F" w:rsidTr="00962BCA">
        <w:tc>
          <w:tcPr>
            <w:tcW w:w="1384" w:type="dxa"/>
          </w:tcPr>
          <w:p w:rsidR="002B710F" w:rsidRPr="007A13FE" w:rsidRDefault="002B710F" w:rsidP="002B710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Satul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Mîndrești</w:t>
            </w:r>
            <w:proofErr w:type="spellEnd"/>
          </w:p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0258-94-8-82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1030,5</w:t>
            </w:r>
          </w:p>
        </w:tc>
      </w:tr>
      <w:tr w:rsidR="002B710F" w:rsidTr="00962BCA">
        <w:tc>
          <w:tcPr>
            <w:tcW w:w="1384" w:type="dxa"/>
          </w:tcPr>
          <w:p w:rsidR="002B710F" w:rsidRPr="007A13FE" w:rsidRDefault="002B710F" w:rsidP="002B710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Satul Ordășei</w:t>
            </w:r>
          </w:p>
          <w:p w:rsidR="002B710F" w:rsidRDefault="002B710F" w:rsidP="00962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0258-93-5-11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612,3</w:t>
            </w:r>
          </w:p>
        </w:tc>
      </w:tr>
      <w:tr w:rsidR="002B710F" w:rsidTr="00962BCA">
        <w:tc>
          <w:tcPr>
            <w:tcW w:w="138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354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464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1024</w:t>
            </w:r>
          </w:p>
        </w:tc>
        <w:tc>
          <w:tcPr>
            <w:tcW w:w="2465" w:type="dxa"/>
          </w:tcPr>
          <w:p w:rsidR="002B710F" w:rsidRDefault="002B710F" w:rsidP="00962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2412,1</w:t>
            </w:r>
          </w:p>
        </w:tc>
      </w:tr>
    </w:tbl>
    <w:p w:rsidR="002B710F" w:rsidRDefault="002B710F" w:rsidP="002B710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54093" w:rsidRDefault="00954093" w:rsidP="002B71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4093" w:rsidRPr="00954093" w:rsidRDefault="00954093" w:rsidP="002B710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2B710F" w:rsidRPr="00954093" w:rsidRDefault="002B710F" w:rsidP="002B710F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ORARUL</w:t>
      </w:r>
    </w:p>
    <w:p w:rsidR="002B710F" w:rsidRPr="00954093" w:rsidRDefault="002B710F" w:rsidP="002B710F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proofErr w:type="gramStart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activității</w:t>
      </w:r>
      <w:proofErr w:type="spellEnd"/>
      <w:proofErr w:type="gramEnd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taberelor</w:t>
      </w:r>
      <w:proofErr w:type="spellEnd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în</w:t>
      </w:r>
      <w:proofErr w:type="spellEnd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sezonul</w:t>
      </w:r>
      <w:proofErr w:type="spellEnd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>estival</w:t>
      </w:r>
      <w:proofErr w:type="spellEnd"/>
      <w:r w:rsidRPr="0095409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2017</w:t>
      </w:r>
    </w:p>
    <w:p w:rsidR="002B710F" w:rsidRPr="00954093" w:rsidRDefault="002B710F" w:rsidP="002B710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Schimbul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I: 19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iunie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– 28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iunie</w:t>
      </w:r>
      <w:proofErr w:type="spellEnd"/>
    </w:p>
    <w:p w:rsidR="002B710F" w:rsidRPr="00954093" w:rsidRDefault="002B710F" w:rsidP="002B710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Schimbul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II :</w:t>
      </w:r>
      <w:proofErr w:type="gram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01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iulie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– 10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iulie</w:t>
      </w:r>
      <w:proofErr w:type="spellEnd"/>
    </w:p>
    <w:p w:rsidR="002B710F" w:rsidRPr="00954093" w:rsidRDefault="002B710F" w:rsidP="002B710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Schimbul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III :</w:t>
      </w:r>
      <w:proofErr w:type="gram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13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iulie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– 22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iulie</w:t>
      </w:r>
      <w:proofErr w:type="spellEnd"/>
    </w:p>
    <w:p w:rsidR="002B710F" w:rsidRPr="00954093" w:rsidRDefault="002B710F" w:rsidP="002B710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   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Schimbul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IV :</w:t>
      </w:r>
      <w:proofErr w:type="gram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25 </w:t>
      </w:r>
      <w:proofErr w:type="spellStart"/>
      <w:r w:rsidRPr="00954093">
        <w:rPr>
          <w:rFonts w:ascii="Times New Roman" w:hAnsi="Times New Roman" w:cs="Times New Roman"/>
          <w:sz w:val="28"/>
          <w:szCs w:val="24"/>
          <w:lang w:val="en-US"/>
        </w:rPr>
        <w:t>iulie</w:t>
      </w:r>
      <w:proofErr w:type="spellEnd"/>
      <w:r w:rsidRPr="00954093">
        <w:rPr>
          <w:rFonts w:ascii="Times New Roman" w:hAnsi="Times New Roman" w:cs="Times New Roman"/>
          <w:sz w:val="28"/>
          <w:szCs w:val="24"/>
          <w:lang w:val="en-US"/>
        </w:rPr>
        <w:t xml:space="preserve"> – 03 august</w:t>
      </w:r>
    </w:p>
    <w:p w:rsidR="00430DE0" w:rsidRDefault="00430DE0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954093" w:rsidRDefault="00954093">
      <w:pPr>
        <w:rPr>
          <w:lang w:val="en-US"/>
        </w:rPr>
      </w:pPr>
    </w:p>
    <w:p w:rsidR="00430DE0" w:rsidRPr="00733882" w:rsidRDefault="00430DE0" w:rsidP="00430D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3882">
        <w:rPr>
          <w:rFonts w:ascii="Times New Roman" w:hAnsi="Times New Roman" w:cs="Times New Roman"/>
          <w:b/>
          <w:sz w:val="24"/>
          <w:szCs w:val="24"/>
          <w:lang w:val="en-US"/>
        </w:rPr>
        <w:t>NOTĂ INFORMATIVĂ</w:t>
      </w:r>
    </w:p>
    <w:p w:rsidR="00430DE0" w:rsidRPr="008578C9" w:rsidRDefault="00430DE0" w:rsidP="0043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proofErr w:type="gramStart"/>
      <w:r w:rsidRPr="008578C9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8578C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578C9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8578C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578C9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8578C9">
        <w:rPr>
          <w:rFonts w:ascii="Times New Roman" w:hAnsi="Times New Roman" w:cs="Times New Roman"/>
          <w:sz w:val="24"/>
          <w:szCs w:val="24"/>
          <w:lang w:val="fr-FR"/>
        </w:rPr>
        <w:t xml:space="preserve"> nr___ </w:t>
      </w:r>
      <w:proofErr w:type="spellStart"/>
      <w:r w:rsidRPr="008578C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578C9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Pr="008578C9">
        <w:rPr>
          <w:rFonts w:ascii="Times New Roman" w:hAnsi="Times New Roman" w:cs="Times New Roman"/>
          <w:sz w:val="24"/>
          <w:szCs w:val="24"/>
          <w:lang w:val="fr-FR"/>
        </w:rPr>
        <w:br/>
        <w:t xml:space="preserve">Cu </w:t>
      </w:r>
      <w:proofErr w:type="spellStart"/>
      <w:r w:rsidRPr="008578C9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8578C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8578C9">
        <w:rPr>
          <w:rFonts w:ascii="Times New Roman" w:hAnsi="Times New Roman" w:cs="Times New Roman"/>
          <w:sz w:val="24"/>
          <w:szCs w:val="24"/>
          <w:u w:val="single"/>
          <w:lang w:val="fr-FR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organizarea odihnei copiilor și adolescenților în sezonul estival 2017</w:t>
      </w:r>
    </w:p>
    <w:p w:rsidR="00430DE0" w:rsidRPr="008578C9" w:rsidRDefault="00430DE0" w:rsidP="00430DE0">
      <w:pPr>
        <w:rPr>
          <w:rFonts w:ascii="Times New Roman" w:hAnsi="Times New Roman" w:cs="Times New Roman"/>
          <w:lang w:val="fr-FR"/>
        </w:rPr>
      </w:pPr>
    </w:p>
    <w:tbl>
      <w:tblPr>
        <w:tblStyle w:val="GrilTabel"/>
        <w:tblW w:w="10065" w:type="dxa"/>
        <w:tblInd w:w="-318" w:type="dxa"/>
        <w:tblLook w:val="04A0"/>
      </w:tblPr>
      <w:tblGrid>
        <w:gridCol w:w="1092"/>
        <w:gridCol w:w="8973"/>
      </w:tblGrid>
      <w:tr w:rsidR="00430DE0" w:rsidRPr="00785F07" w:rsidTr="00C31CE8">
        <w:trPr>
          <w:cantSplit/>
          <w:trHeight w:val="1260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Inițiatorul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Proiectului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8973" w:type="dxa"/>
            <w:vMerge w:val="restart"/>
          </w:tcPr>
          <w:p w:rsidR="00430DE0" w:rsidRPr="00430DE0" w:rsidRDefault="00430DE0" w:rsidP="00C31CE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</w:t>
            </w: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Proiectul Deciziei cu privire la organizarea odihnei copiilor în sezonul estival 2017 a fost elaborat de către Direcția Generală Educație în colaborare cu Direcția Finanțe. </w:t>
            </w: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Proiectul prevede organizarea odihnei și întremării copiilor în taberele din Ordășei,</w:t>
            </w: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Crăsnășeni, Mândrești.</w:t>
            </w: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Prezentul proiect a fost elaborat în conformitate cu prevederile Ordinului Ministerului Educaţiei   „Cu privire la punerea în aplicaţie a Regulamentului de funcţionare a taberelor de odihnă şi întremare a sănătăţii copiilor şi adolescenţilor”  precum și Hotărârea Guvernului nr. _______________ cu privire la organizarea odihnei și întremării copiilor și adolescenților în sezonul estival 2017.</w:t>
            </w: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Scopul proiectului de decizie este definirea cadrului instituțional și stabilirea condițiilor pentru organizarea optimă a odihnei și întremării copiilor și adolescenților în sezonul estival 2017. Concomitent, prin aprobarea prezentei decizii se urmărește consolidarea infrastructurii obiectivelor de agrement destinate copiilor din raza raionului Telenești.</w:t>
            </w: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Prezentul proiect de decizie este condiționat de factori socio – culturali, economici, care, cumulativ, au ca temei următoarele argumente: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Crearea condițiilor de odihnă a copiilor și adolescenților în conformitate cu normele legale naționale;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Integrarea copiilor într-un mediu social diferit celui de acasă sau instituție educațională cotidiană;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Oferirea posibilităților copiilor de a-și dezvolta aptitudinile în instituții educaționale alternative școlii;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Întreținerea în stare bună și dezvoltarea infrastructurii obiectelor de agrement din raion destinate copiilor;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Oferirea copiilor din familii dificile a unui spațiu sigur în perioada vacanței de vară;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Oferirea oportunităților de odihnă, întremare și dezvoltare copiilor dotați, învingători în concursurile școlare, la competițiile sportive de nivel raional și republican.</w:t>
            </w:r>
          </w:p>
          <w:p w:rsidR="00430DE0" w:rsidRPr="00430DE0" w:rsidRDefault="00430DE0" w:rsidP="00C31CE8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DE0" w:rsidRPr="00733882" w:rsidTr="00C31CE8">
        <w:trPr>
          <w:cantSplit/>
          <w:trHeight w:val="1986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Reglementarea juridic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973" w:type="dxa"/>
            <w:vMerge/>
          </w:tcPr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0DE0" w:rsidRPr="00733882" w:rsidTr="00C31CE8">
        <w:trPr>
          <w:cantSplit/>
          <w:trHeight w:val="1674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Scopul  Proiectului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973" w:type="dxa"/>
            <w:vMerge/>
          </w:tcPr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0DE0" w:rsidRPr="00733882" w:rsidTr="00C31CE8">
        <w:trPr>
          <w:cantSplit/>
          <w:trHeight w:val="1401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Argumentarea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8973" w:type="dxa"/>
            <w:vMerge/>
          </w:tcPr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0DE0" w:rsidRPr="00785F07" w:rsidTr="00C31CE8">
        <w:trPr>
          <w:cantSplit/>
          <w:trHeight w:val="2255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Analiza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8973" w:type="dxa"/>
            <w:vMerge w:val="restart"/>
          </w:tcPr>
          <w:p w:rsid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În temeiul argumentelor expuse și a analizei contingentului de elevi din instituțiile educaționale, considerăm că aprobarea deciziei Consiliului Raional ar produce următoarele efecte: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Asigurarea odihnei a 1024 de copii (la nivelul sezonului estival 2016), ceea ce presupune câte 250 copii în 4 ture ( tabăra Mândrești – 400 copii; tabăra Crăsnășeni – 384 copii, tabăra Ordășei – 240 copii), inclusiv a 256  de copii din familii social vulnerabile, care vor beneficia de odihnă gratuită.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Asigurarea de către CR Telenești a plății de 80 % din costul biletului de odihnă, oferirea posibilității părinților de a achita doar 20 % din costul total al unui bilet de odihnă, fapt care ar facilita considerabil accesul copiilor în tabere.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Atragerea în activități educaționale a copiilor din familii dificile, needucogene pentru a-i proteja de efecte educaționale negative.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Motivarea elevilor dotați, premianți ai concursurilor școlare, competițiilor sportive, să fie pregătiți pentru alte performanțe.</w:t>
            </w: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Pentru executarea prezentei decizii sunt necesare mijloace financiare în mărime de ________ lei, bani ce urmează a fi utilizați în următoarele scopuri:</w:t>
            </w:r>
          </w:p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882">
              <w:rPr>
                <w:rFonts w:ascii="Times New Roman" w:hAnsi="Times New Roman" w:cs="Times New Roman"/>
                <w:i/>
                <w:sz w:val="24"/>
                <w:szCs w:val="24"/>
              </w:rPr>
              <w:t>Reparația taberelor</w:t>
            </w:r>
          </w:p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882">
              <w:rPr>
                <w:rFonts w:ascii="Times New Roman" w:hAnsi="Times New Roman" w:cs="Times New Roman"/>
                <w:i/>
                <w:sz w:val="24"/>
                <w:szCs w:val="24"/>
              </w:rPr>
              <w:t>Compensarea foilor de odihnă</w:t>
            </w:r>
          </w:p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882">
              <w:rPr>
                <w:rFonts w:ascii="Times New Roman" w:hAnsi="Times New Roman" w:cs="Times New Roman"/>
                <w:i/>
                <w:sz w:val="24"/>
                <w:szCs w:val="24"/>
              </w:rPr>
              <w:t>Procurarea produselor alimentare</w:t>
            </w:r>
          </w:p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882">
              <w:rPr>
                <w:rFonts w:ascii="Times New Roman" w:hAnsi="Times New Roman" w:cs="Times New Roman"/>
                <w:i/>
                <w:sz w:val="24"/>
                <w:szCs w:val="24"/>
              </w:rPr>
              <w:t>Salarizarea angajaților</w:t>
            </w:r>
          </w:p>
          <w:p w:rsidR="00430DE0" w:rsidRPr="00733882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882">
              <w:rPr>
                <w:rFonts w:ascii="Times New Roman" w:hAnsi="Times New Roman" w:cs="Times New Roman"/>
                <w:i/>
                <w:sz w:val="24"/>
                <w:szCs w:val="24"/>
              </w:rPr>
              <w:t>Etc…</w:t>
            </w: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Considerăm că aceste mijloace financiare sunt total justificate și reprezintă o investiție socială avantajoasă prin prisma mai multor factori, și anume: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Menținerea și dezvoltarea taberelor de odihnă din raion;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Organizarea odihnei copiilor într-un mediu socio-educațional sigur care corespunde standardelor de calitate;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Atragerea agenților economici din domeniul comerțului și al turismului (procurarea produselor, organizarea excursiilor, etc.);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Crearea condițiilor de desfășurare a practicii pedagogice a viitorilor tineri specialiști în domeniul educației;</w:t>
            </w:r>
          </w:p>
          <w:p w:rsidR="00430DE0" w:rsidRPr="00430DE0" w:rsidRDefault="00430DE0" w:rsidP="00430DE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0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Întremarea sănătății copiilor și pregătirea lor pentru noul an școlar.</w:t>
            </w:r>
          </w:p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30DE0" w:rsidRPr="00785F07" w:rsidTr="00C31CE8">
        <w:trPr>
          <w:cantSplit/>
          <w:trHeight w:val="2255"/>
        </w:trPr>
        <w:tc>
          <w:tcPr>
            <w:tcW w:w="1092" w:type="dxa"/>
            <w:textDirection w:val="btLr"/>
          </w:tcPr>
          <w:p w:rsidR="00430DE0" w:rsidRPr="00430DE0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0DE0" w:rsidRPr="00430DE0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0DE0" w:rsidRPr="00430DE0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3" w:type="dxa"/>
            <w:vMerge/>
          </w:tcPr>
          <w:p w:rsidR="00430DE0" w:rsidRPr="00430DE0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30DE0" w:rsidRPr="00C85D9C" w:rsidTr="00C31CE8">
        <w:trPr>
          <w:cantSplit/>
          <w:trHeight w:val="1401"/>
        </w:trPr>
        <w:tc>
          <w:tcPr>
            <w:tcW w:w="1092" w:type="dxa"/>
            <w:textDirection w:val="btLr"/>
          </w:tcPr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Mijloacele financiare</w:t>
            </w:r>
          </w:p>
          <w:p w:rsidR="00430DE0" w:rsidRPr="00733882" w:rsidRDefault="00430DE0" w:rsidP="00C31C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3882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8973" w:type="dxa"/>
            <w:vMerge/>
          </w:tcPr>
          <w:p w:rsidR="00430DE0" w:rsidRPr="00733882" w:rsidRDefault="00430DE0" w:rsidP="00C31C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30DE0" w:rsidRPr="00733882" w:rsidRDefault="00430DE0" w:rsidP="00430DE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0DE0" w:rsidRPr="00D174E2" w:rsidRDefault="00430DE0" w:rsidP="00430DE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Eugenia IOXA</w:t>
      </w:r>
    </w:p>
    <w:p w:rsidR="00D264D5" w:rsidRPr="00AF225B" w:rsidRDefault="00D264D5" w:rsidP="00FE4A2B">
      <w:pPr>
        <w:spacing w:after="0"/>
        <w:jc w:val="right"/>
        <w:rPr>
          <w:lang w:val="en-US"/>
        </w:rPr>
      </w:pPr>
    </w:p>
    <w:sectPr w:rsidR="00D264D5" w:rsidRPr="00AF225B" w:rsidSect="00430D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A76"/>
    <w:multiLevelType w:val="hybridMultilevel"/>
    <w:tmpl w:val="3AC4FBB6"/>
    <w:lvl w:ilvl="0" w:tplc="B68CCBF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C64B5"/>
    <w:multiLevelType w:val="hybridMultilevel"/>
    <w:tmpl w:val="715A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E07119"/>
    <w:multiLevelType w:val="hybridMultilevel"/>
    <w:tmpl w:val="E4E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A3D94"/>
    <w:rsid w:val="000A3D94"/>
    <w:rsid w:val="00102484"/>
    <w:rsid w:val="00123DE7"/>
    <w:rsid w:val="002202F9"/>
    <w:rsid w:val="002A6CC3"/>
    <w:rsid w:val="002B710F"/>
    <w:rsid w:val="00300E00"/>
    <w:rsid w:val="00332F19"/>
    <w:rsid w:val="00341BFB"/>
    <w:rsid w:val="003A6CA8"/>
    <w:rsid w:val="00400C8B"/>
    <w:rsid w:val="00430DE0"/>
    <w:rsid w:val="00690568"/>
    <w:rsid w:val="006C6A34"/>
    <w:rsid w:val="00714497"/>
    <w:rsid w:val="00742E1A"/>
    <w:rsid w:val="00757DA4"/>
    <w:rsid w:val="00785F07"/>
    <w:rsid w:val="0082644F"/>
    <w:rsid w:val="00877CBF"/>
    <w:rsid w:val="00954093"/>
    <w:rsid w:val="00A6085C"/>
    <w:rsid w:val="00A72781"/>
    <w:rsid w:val="00AD0CF4"/>
    <w:rsid w:val="00AF225B"/>
    <w:rsid w:val="00C77D76"/>
    <w:rsid w:val="00D264D5"/>
    <w:rsid w:val="00D578F7"/>
    <w:rsid w:val="00D62DDA"/>
    <w:rsid w:val="00F07129"/>
    <w:rsid w:val="00FE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A3D94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A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3D9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102484"/>
    <w:rPr>
      <w:b/>
      <w:bCs/>
    </w:rPr>
  </w:style>
  <w:style w:type="character" w:customStyle="1" w:styleId="apple-converted-space">
    <w:name w:val="apple-converted-space"/>
    <w:basedOn w:val="Fontdeparagrafimplicit"/>
    <w:rsid w:val="00102484"/>
  </w:style>
  <w:style w:type="character" w:customStyle="1" w:styleId="docheader">
    <w:name w:val="doc_header"/>
    <w:basedOn w:val="Fontdeparagrafimplicit"/>
    <w:rsid w:val="00102484"/>
  </w:style>
  <w:style w:type="table" w:styleId="GrilTabel">
    <w:name w:val="Table Grid"/>
    <w:basedOn w:val="TabelNormal"/>
    <w:uiPriority w:val="39"/>
    <w:rsid w:val="00FE4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F225B"/>
    <w:pPr>
      <w:spacing w:after="160" w:line="259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2002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5</vt:i4>
      </vt:variant>
    </vt:vector>
  </HeadingPairs>
  <TitlesOfParts>
    <vt:vector size="6" baseType="lpstr">
      <vt:lpstr/>
      <vt:lpstr>    REPUBLICA MOLDOVA      / CONSILIUL_RAIONAL T</vt:lpstr>
      <vt:lpstr>    MD-5801, or.Teleneşti, str.31 August, 9 tel: (258)2-20-58, 2-26-50, fax: 2-24-5</vt:lpstr>
      <vt:lpstr>    www.telenesti.md,  consiliul@telenesti.md, posta@telenesti.md	                  </vt:lpstr>
      <vt:lpstr>    14. Prezenta decizie urmează a fi adusă la cunoştinţa persoanelor vizate şi int</vt:lpstr>
      <vt:lpstr>    </vt:lpstr>
    </vt:vector>
  </TitlesOfParts>
  <Company>CtrlSoft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13</cp:revision>
  <cp:lastPrinted>2017-05-25T12:51:00Z</cp:lastPrinted>
  <dcterms:created xsi:type="dcterms:W3CDTF">2017-05-04T06:02:00Z</dcterms:created>
  <dcterms:modified xsi:type="dcterms:W3CDTF">2017-05-25T12:52:00Z</dcterms:modified>
</cp:coreProperties>
</file>