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75" w:rsidRPr="00FC0142" w:rsidRDefault="00E31C75" w:rsidP="00E31C7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en-US" w:eastAsia="en-US"/>
        </w:rPr>
      </w:pPr>
      <w:r w:rsidRPr="00FC014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75" w:rsidRPr="00FB2EA9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FC0142">
        <w:rPr>
          <w:rFonts w:eastAsia="Calibri"/>
          <w:b/>
          <w:sz w:val="36"/>
          <w:szCs w:val="22"/>
          <w:lang w:eastAsia="en-US"/>
        </w:rPr>
        <w:t xml:space="preserve">                        </w:t>
      </w:r>
      <w:r>
        <w:rPr>
          <w:rFonts w:eastAsia="Calibri"/>
          <w:b/>
          <w:sz w:val="36"/>
          <w:szCs w:val="22"/>
          <w:lang w:eastAsia="en-US"/>
        </w:rPr>
        <w:t xml:space="preserve">            </w:t>
      </w:r>
      <w:r w:rsidRPr="00FC0142">
        <w:rPr>
          <w:rFonts w:eastAsia="Calibri"/>
          <w:b/>
          <w:sz w:val="36"/>
          <w:szCs w:val="22"/>
          <w:lang w:eastAsia="en-US"/>
        </w:rPr>
        <w:t xml:space="preserve">REPUBLICA MOLDOVA        </w:t>
      </w:r>
      <w:r w:rsidRPr="00FC0142">
        <w:rPr>
          <w:rFonts w:eastAsia="Calibri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C75">
        <w:rPr>
          <w:rFonts w:eastAsia="Calibri"/>
          <w:b/>
          <w:sz w:val="28"/>
          <w:szCs w:val="22"/>
          <w:lang w:eastAsia="en-US"/>
        </w:rPr>
        <w:t xml:space="preserve"> </w:t>
      </w:r>
      <w:r w:rsidRPr="00BB318B">
        <w:rPr>
          <w:rFonts w:eastAsia="Calibri"/>
          <w:b/>
          <w:sz w:val="28"/>
          <w:szCs w:val="22"/>
          <w:lang w:eastAsia="en-US"/>
        </w:rPr>
        <w:t>CONSILIUL</w:t>
      </w:r>
      <w:r w:rsidRPr="00BB318B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BB318B">
        <w:rPr>
          <w:rFonts w:eastAsia="Calibri"/>
          <w:b/>
          <w:sz w:val="28"/>
          <w:szCs w:val="22"/>
          <w:lang w:eastAsia="en-US"/>
        </w:rPr>
        <w:t>RAIONAL TELENEȘTI</w:t>
      </w:r>
      <w:r w:rsidRPr="00FC0142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  <w:r w:rsidR="00DA02CD">
        <w:rPr>
          <w:rFonts w:eastAsia="Calibri"/>
          <w:b/>
          <w:sz w:val="28"/>
          <w:szCs w:val="22"/>
          <w:u w:val="single"/>
          <w:lang w:eastAsia="en-US"/>
        </w:rPr>
        <w:t xml:space="preserve">           </w:t>
      </w:r>
    </w:p>
    <w:p w:rsidR="00E31C75" w:rsidRPr="00FC0142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FC0142">
        <w:rPr>
          <w:rFonts w:ascii="Calibri" w:eastAsia="Calibri" w:hAnsi="Calibri"/>
          <w:szCs w:val="22"/>
          <w:lang w:eastAsia="en-US"/>
        </w:rPr>
        <w:t xml:space="preserve"> </w:t>
      </w:r>
      <w:r w:rsidRPr="00FC0142">
        <w:rPr>
          <w:sz w:val="20"/>
          <w:szCs w:val="20"/>
          <w:lang w:eastAsia="ru-RU"/>
        </w:rPr>
        <w:t>MD-5801, or.Teleneşti, str.31 August, 9 tel: (258)2-20-58, 2-26-50, fax: 2-24-50</w:t>
      </w:r>
    </w:p>
    <w:p w:rsidR="00E31C75" w:rsidRPr="00847876" w:rsidRDefault="002154A3" w:rsidP="00847876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8" w:history="1">
        <w:r w:rsidR="00E31C75" w:rsidRPr="00FC0142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FC0142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FC0142">
        <w:rPr>
          <w:color w:val="0000FF"/>
          <w:sz w:val="18"/>
          <w:szCs w:val="20"/>
          <w:lang w:eastAsia="ru-RU"/>
        </w:rPr>
        <w:t xml:space="preserve"> </w:t>
      </w:r>
      <w:r w:rsidR="00E31C75" w:rsidRPr="00FC0142">
        <w:rPr>
          <w:sz w:val="18"/>
          <w:szCs w:val="20"/>
          <w:lang w:eastAsia="ru-RU"/>
        </w:rPr>
        <w:t xml:space="preserve"> </w:t>
      </w:r>
      <w:hyperlink r:id="rId9" w:history="1">
        <w:r w:rsidR="00E31C75" w:rsidRPr="00FC0142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31C75" w:rsidRPr="00FC0142">
        <w:rPr>
          <w:sz w:val="18"/>
          <w:szCs w:val="20"/>
          <w:lang w:eastAsia="ru-RU"/>
        </w:rPr>
        <w:t xml:space="preserve">, </w:t>
      </w:r>
      <w:hyperlink r:id="rId10" w:history="1">
        <w:r w:rsidR="00E31C75" w:rsidRPr="00FC0142">
          <w:rPr>
            <w:color w:val="0000FF"/>
            <w:sz w:val="18"/>
            <w:szCs w:val="20"/>
            <w:u w:val="single"/>
            <w:lang w:eastAsia="ru-RU"/>
          </w:rPr>
          <w:t>posta@telenesti.md</w:t>
        </w:r>
      </w:hyperlink>
      <w:r w:rsidR="00EE58B0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E31C75" w:rsidRPr="00A37BEC" w:rsidRDefault="002154A3" w:rsidP="00E31C75">
      <w:r>
        <w:pict>
          <v:rect id="_x0000_i1025" style="width:488.9pt;height:1.75pt" o:hrpct="958" o:hralign="center" o:hrstd="t" o:hr="t" fillcolor="#a0a0a0" stroked="f"/>
        </w:pict>
      </w:r>
    </w:p>
    <w:p w:rsidR="00476812" w:rsidRPr="00476812" w:rsidRDefault="00EE58B0" w:rsidP="00476812">
      <w:pPr>
        <w:jc w:val="center"/>
        <w:rPr>
          <w:b/>
          <w:sz w:val="28"/>
          <w:szCs w:val="28"/>
        </w:rPr>
      </w:pPr>
      <w:r w:rsidRPr="00FB3A91">
        <w:rPr>
          <w:b/>
          <w:sz w:val="28"/>
          <w:szCs w:val="28"/>
        </w:rPr>
        <w:t xml:space="preserve">DECIZIE nr. </w:t>
      </w:r>
      <w:r w:rsidR="002C3208">
        <w:rPr>
          <w:b/>
          <w:sz w:val="28"/>
          <w:szCs w:val="28"/>
        </w:rPr>
        <w:t>2</w:t>
      </w:r>
      <w:r w:rsidRPr="0091088B">
        <w:rPr>
          <w:b/>
          <w:sz w:val="28"/>
          <w:szCs w:val="28"/>
        </w:rPr>
        <w:t>/</w:t>
      </w:r>
      <w:r w:rsidR="00730408">
        <w:rPr>
          <w:b/>
          <w:sz w:val="28"/>
          <w:szCs w:val="28"/>
        </w:rPr>
        <w:t>14</w:t>
      </w:r>
      <w:r w:rsidR="00DA02CD">
        <w:rPr>
          <w:b/>
          <w:sz w:val="28"/>
          <w:szCs w:val="28"/>
        </w:rPr>
        <w:t xml:space="preserve">                                    </w:t>
      </w:r>
    </w:p>
    <w:p w:rsidR="00EE58B0" w:rsidRDefault="00476812" w:rsidP="00E31C75">
      <w:r>
        <w:t xml:space="preserve">                                                                                                                                                </w:t>
      </w:r>
      <w:r w:rsidR="00B13325">
        <w:t xml:space="preserve">       </w:t>
      </w:r>
      <w:r>
        <w:t xml:space="preserve">  </w:t>
      </w:r>
    </w:p>
    <w:p w:rsidR="00EE58B0" w:rsidRPr="006864FA" w:rsidRDefault="00DF0B44" w:rsidP="00C05B22">
      <w:pPr>
        <w:rPr>
          <w:sz w:val="26"/>
          <w:szCs w:val="26"/>
        </w:rPr>
      </w:pPr>
      <w:r w:rsidRPr="006864FA">
        <w:rPr>
          <w:sz w:val="26"/>
          <w:szCs w:val="26"/>
        </w:rPr>
        <w:t>d</w:t>
      </w:r>
      <w:r w:rsidR="00EE58B0" w:rsidRPr="006864FA">
        <w:rPr>
          <w:sz w:val="26"/>
          <w:szCs w:val="26"/>
        </w:rPr>
        <w:t>in</w:t>
      </w:r>
      <w:r w:rsidRPr="006864FA">
        <w:rPr>
          <w:sz w:val="26"/>
          <w:szCs w:val="26"/>
        </w:rPr>
        <w:t xml:space="preserve"> </w:t>
      </w:r>
      <w:r w:rsidR="002C3208" w:rsidRPr="006864FA">
        <w:rPr>
          <w:sz w:val="26"/>
          <w:szCs w:val="26"/>
        </w:rPr>
        <w:t>07 aprilie</w:t>
      </w:r>
      <w:r w:rsidR="000604B9" w:rsidRPr="006864FA">
        <w:rPr>
          <w:sz w:val="26"/>
          <w:szCs w:val="26"/>
        </w:rPr>
        <w:t xml:space="preserve"> </w:t>
      </w:r>
      <w:r w:rsidR="00EE58B0" w:rsidRPr="006864FA">
        <w:rPr>
          <w:sz w:val="26"/>
          <w:szCs w:val="26"/>
        </w:rPr>
        <w:t xml:space="preserve"> 201</w:t>
      </w:r>
      <w:r w:rsidR="002C3208" w:rsidRPr="006864FA">
        <w:rPr>
          <w:sz w:val="26"/>
          <w:szCs w:val="26"/>
        </w:rPr>
        <w:t>7</w:t>
      </w:r>
    </w:p>
    <w:p w:rsidR="002976FD" w:rsidRPr="006864FA" w:rsidRDefault="002976FD" w:rsidP="00C05B22">
      <w:pPr>
        <w:rPr>
          <w:sz w:val="26"/>
          <w:szCs w:val="26"/>
        </w:rPr>
      </w:pPr>
    </w:p>
    <w:p w:rsidR="001C53D5" w:rsidRPr="006864FA" w:rsidRDefault="00F318E8" w:rsidP="00547D08">
      <w:pPr>
        <w:jc w:val="both"/>
        <w:rPr>
          <w:b/>
          <w:sz w:val="26"/>
          <w:szCs w:val="26"/>
        </w:rPr>
      </w:pPr>
      <w:r w:rsidRPr="006864FA">
        <w:rPr>
          <w:b/>
          <w:sz w:val="26"/>
          <w:szCs w:val="26"/>
        </w:rPr>
        <w:t xml:space="preserve">  „</w:t>
      </w:r>
      <w:r w:rsidR="00547D08" w:rsidRPr="006864FA">
        <w:rPr>
          <w:b/>
          <w:sz w:val="26"/>
          <w:szCs w:val="26"/>
        </w:rPr>
        <w:t xml:space="preserve">Cu privire la aprobarea districtelor </w:t>
      </w:r>
    </w:p>
    <w:p w:rsidR="0066110C" w:rsidRPr="006864FA" w:rsidRDefault="00F318E8" w:rsidP="00547D08">
      <w:pPr>
        <w:jc w:val="both"/>
        <w:rPr>
          <w:b/>
          <w:sz w:val="26"/>
          <w:szCs w:val="26"/>
        </w:rPr>
      </w:pPr>
      <w:r w:rsidRPr="006864FA">
        <w:rPr>
          <w:b/>
          <w:sz w:val="26"/>
          <w:szCs w:val="26"/>
        </w:rPr>
        <w:t xml:space="preserve"> şcolare din teritoriul raionului Telenești”</w:t>
      </w:r>
    </w:p>
    <w:p w:rsidR="00547D08" w:rsidRPr="006864FA" w:rsidRDefault="00547D08" w:rsidP="00547D08">
      <w:pPr>
        <w:jc w:val="both"/>
        <w:rPr>
          <w:b/>
          <w:sz w:val="26"/>
          <w:szCs w:val="26"/>
        </w:rPr>
      </w:pPr>
    </w:p>
    <w:p w:rsidR="0066110C" w:rsidRPr="006864FA" w:rsidRDefault="00193F62" w:rsidP="00193F62">
      <w:pPr>
        <w:ind w:firstLine="708"/>
        <w:jc w:val="both"/>
        <w:rPr>
          <w:sz w:val="26"/>
          <w:szCs w:val="26"/>
        </w:rPr>
      </w:pPr>
      <w:r w:rsidRPr="006864FA">
        <w:rPr>
          <w:sz w:val="26"/>
          <w:szCs w:val="26"/>
        </w:rPr>
        <w:t>Examinând informația g</w:t>
      </w:r>
      <w:r w:rsidR="00623595" w:rsidRPr="006864FA">
        <w:rPr>
          <w:sz w:val="26"/>
          <w:szCs w:val="26"/>
        </w:rPr>
        <w:t>eneralizată privind districtele școlare din raionul T</w:t>
      </w:r>
      <w:r w:rsidRPr="006864FA">
        <w:rPr>
          <w:sz w:val="26"/>
          <w:szCs w:val="26"/>
        </w:rPr>
        <w:t>elenești</w:t>
      </w:r>
      <w:r w:rsidR="00623595" w:rsidRPr="006864FA">
        <w:rPr>
          <w:sz w:val="26"/>
          <w:szCs w:val="26"/>
        </w:rPr>
        <w:t>, prezentată de către Șe</w:t>
      </w:r>
      <w:r w:rsidRPr="006864FA">
        <w:rPr>
          <w:sz w:val="26"/>
          <w:szCs w:val="26"/>
        </w:rPr>
        <w:t>ful Direcției Educație</w:t>
      </w:r>
      <w:r w:rsidR="00623595" w:rsidRPr="006864FA">
        <w:rPr>
          <w:sz w:val="26"/>
          <w:szCs w:val="26"/>
        </w:rPr>
        <w:t>, î</w:t>
      </w:r>
      <w:r w:rsidR="0066110C" w:rsidRPr="006864FA">
        <w:rPr>
          <w:sz w:val="26"/>
          <w:szCs w:val="26"/>
        </w:rPr>
        <w:t xml:space="preserve">n scopul </w:t>
      </w:r>
      <w:r w:rsidR="008B66D0" w:rsidRPr="006864FA">
        <w:rPr>
          <w:sz w:val="26"/>
          <w:szCs w:val="26"/>
        </w:rPr>
        <w:t>asigurării accesului elevilor la un proces educațional de calitate, precum și bunei funcționări a instituțiilor de învățământ a căror fondator este Consiliul raional Telenești,</w:t>
      </w:r>
      <w:r w:rsidR="002C3208" w:rsidRPr="006864FA">
        <w:rPr>
          <w:sz w:val="26"/>
          <w:szCs w:val="26"/>
        </w:rPr>
        <w:t xml:space="preserve"> ţinâ</w:t>
      </w:r>
      <w:r w:rsidRPr="006864FA">
        <w:rPr>
          <w:sz w:val="26"/>
          <w:szCs w:val="26"/>
        </w:rPr>
        <w:t>nd cont de prevederile deciziilor consiliului raional anterior aprobate privitor la r</w:t>
      </w:r>
      <w:r w:rsidR="002C3208" w:rsidRPr="006864FA">
        <w:rPr>
          <w:sz w:val="26"/>
          <w:szCs w:val="26"/>
        </w:rPr>
        <w:t>eţeaua instituţiilor de învăţămâ</w:t>
      </w:r>
      <w:r w:rsidRPr="006864FA">
        <w:rPr>
          <w:sz w:val="26"/>
          <w:szCs w:val="26"/>
        </w:rPr>
        <w:t xml:space="preserve">nt, </w:t>
      </w:r>
      <w:r w:rsidR="008B66D0" w:rsidRPr="006864FA">
        <w:rPr>
          <w:sz w:val="26"/>
          <w:szCs w:val="26"/>
        </w:rPr>
        <w:t xml:space="preserve"> în conformitate cu art. art. 3, 21 al. (2)</w:t>
      </w:r>
      <w:r w:rsidR="008C13E5" w:rsidRPr="006864FA">
        <w:rPr>
          <w:sz w:val="26"/>
          <w:szCs w:val="26"/>
        </w:rPr>
        <w:t xml:space="preserve"> şi art. 141 (1) lit. „k”</w:t>
      </w:r>
      <w:r w:rsidR="000F46A1" w:rsidRPr="006864FA">
        <w:rPr>
          <w:sz w:val="26"/>
          <w:szCs w:val="26"/>
        </w:rPr>
        <w:t xml:space="preserve"> al Codului Educației a R. Moldova, </w:t>
      </w:r>
      <w:r w:rsidR="00B91997" w:rsidRPr="006864FA">
        <w:rPr>
          <w:sz w:val="26"/>
          <w:szCs w:val="26"/>
        </w:rPr>
        <w:t>art. 65 al Legii nr. 317 din 18.07.2003  privind actele normative ale Guvernului şi ale altor autorităţi ale administraţiei publice centrale şi locale</w:t>
      </w:r>
      <w:r w:rsidR="0066110C" w:rsidRPr="006864FA">
        <w:rPr>
          <w:bCs/>
          <w:sz w:val="26"/>
          <w:szCs w:val="26"/>
        </w:rPr>
        <w:t xml:space="preserve"> având avizul pozitiv al comisiei consultative pe probleme sociale</w:t>
      </w:r>
      <w:r w:rsidR="0066110C" w:rsidRPr="006864FA">
        <w:rPr>
          <w:sz w:val="26"/>
          <w:szCs w:val="26"/>
        </w:rPr>
        <w:t xml:space="preserve"> , în temeiul art. art. 43 al. (2), 46 al Legii nr.436-XVI din 28.12.2006 privind administraţia publică locală,</w:t>
      </w:r>
      <w:r w:rsidR="0066110C" w:rsidRPr="006864FA">
        <w:rPr>
          <w:b/>
          <w:sz w:val="26"/>
          <w:szCs w:val="26"/>
        </w:rPr>
        <w:t xml:space="preserve"> </w:t>
      </w:r>
      <w:r w:rsidRPr="006864FA">
        <w:rPr>
          <w:sz w:val="26"/>
          <w:szCs w:val="26"/>
        </w:rPr>
        <w:t>Consiliul raional,</w:t>
      </w:r>
    </w:p>
    <w:p w:rsidR="00560898" w:rsidRPr="006864FA" w:rsidRDefault="00560898" w:rsidP="00193F62">
      <w:pPr>
        <w:ind w:firstLine="708"/>
        <w:jc w:val="both"/>
        <w:rPr>
          <w:sz w:val="26"/>
          <w:szCs w:val="26"/>
        </w:rPr>
      </w:pPr>
    </w:p>
    <w:p w:rsidR="0066110C" w:rsidRPr="006864FA" w:rsidRDefault="0066110C" w:rsidP="006864FA">
      <w:pPr>
        <w:jc w:val="center"/>
        <w:rPr>
          <w:b/>
          <w:sz w:val="26"/>
          <w:szCs w:val="26"/>
        </w:rPr>
      </w:pPr>
      <w:r w:rsidRPr="006864FA">
        <w:rPr>
          <w:b/>
          <w:sz w:val="26"/>
          <w:szCs w:val="26"/>
        </w:rPr>
        <w:t>DECIDE:</w:t>
      </w:r>
    </w:p>
    <w:p w:rsidR="0066110C" w:rsidRPr="006864FA" w:rsidRDefault="0066110C" w:rsidP="0066110C">
      <w:pPr>
        <w:ind w:firstLine="708"/>
        <w:jc w:val="both"/>
        <w:rPr>
          <w:sz w:val="26"/>
          <w:szCs w:val="26"/>
          <w:lang w:val="it-IT"/>
        </w:rPr>
      </w:pPr>
      <w:r w:rsidRPr="006864FA">
        <w:rPr>
          <w:sz w:val="26"/>
          <w:szCs w:val="26"/>
          <w:lang w:val="it-IT"/>
        </w:rPr>
        <w:t xml:space="preserve">1. </w:t>
      </w:r>
      <w:r w:rsidR="00547D08" w:rsidRPr="006864FA">
        <w:rPr>
          <w:sz w:val="26"/>
          <w:szCs w:val="26"/>
        </w:rPr>
        <w:t>Se stabilesc districtele şcolare pe</w:t>
      </w:r>
      <w:r w:rsidR="00193F62" w:rsidRPr="006864FA">
        <w:rPr>
          <w:sz w:val="26"/>
          <w:szCs w:val="26"/>
        </w:rPr>
        <w:t xml:space="preserve">ntru </w:t>
      </w:r>
      <w:r w:rsidR="00CD61E7" w:rsidRPr="006864FA">
        <w:rPr>
          <w:sz w:val="26"/>
          <w:szCs w:val="26"/>
        </w:rPr>
        <w:t xml:space="preserve"> instituţiile </w:t>
      </w:r>
      <w:r w:rsidR="00547D08" w:rsidRPr="006864FA">
        <w:rPr>
          <w:sz w:val="26"/>
          <w:szCs w:val="26"/>
        </w:rPr>
        <w:t>de învăţământ</w:t>
      </w:r>
      <w:r w:rsidR="008C13E5" w:rsidRPr="006864FA">
        <w:rPr>
          <w:sz w:val="26"/>
          <w:szCs w:val="26"/>
        </w:rPr>
        <w:t xml:space="preserve"> a cărui fondator este Consiliul raional</w:t>
      </w:r>
      <w:r w:rsidR="00547D08" w:rsidRPr="006864FA">
        <w:rPr>
          <w:sz w:val="26"/>
          <w:szCs w:val="26"/>
        </w:rPr>
        <w:t>,</w:t>
      </w:r>
      <w:r w:rsidR="008C13E5" w:rsidRPr="006864FA">
        <w:rPr>
          <w:sz w:val="26"/>
          <w:szCs w:val="26"/>
        </w:rPr>
        <w:t xml:space="preserve"> conform prevederilor anexei, parte integrantă a prezentei decizii</w:t>
      </w:r>
      <w:r w:rsidR="00547D08" w:rsidRPr="006864FA">
        <w:rPr>
          <w:sz w:val="26"/>
          <w:szCs w:val="26"/>
        </w:rPr>
        <w:t>.</w:t>
      </w:r>
    </w:p>
    <w:p w:rsidR="00547D08" w:rsidRPr="006864FA" w:rsidRDefault="0066110C" w:rsidP="00547D08">
      <w:pPr>
        <w:ind w:firstLine="708"/>
        <w:jc w:val="both"/>
        <w:rPr>
          <w:sz w:val="26"/>
          <w:szCs w:val="26"/>
          <w:lang w:val="it-IT"/>
        </w:rPr>
      </w:pPr>
      <w:r w:rsidRPr="006864FA">
        <w:rPr>
          <w:sz w:val="26"/>
          <w:szCs w:val="26"/>
          <w:lang w:val="it-IT"/>
        </w:rPr>
        <w:t xml:space="preserve">2. </w:t>
      </w:r>
      <w:r w:rsidR="009C6A80" w:rsidRPr="006864FA">
        <w:rPr>
          <w:sz w:val="26"/>
          <w:szCs w:val="26"/>
          <w:lang w:val="it-IT"/>
        </w:rPr>
        <w:t xml:space="preserve">Direcția Generală </w:t>
      </w:r>
      <w:r w:rsidR="00547D08" w:rsidRPr="006864FA">
        <w:rPr>
          <w:sz w:val="26"/>
          <w:szCs w:val="26"/>
          <w:lang w:val="it-IT"/>
        </w:rPr>
        <w:t>Educație:</w:t>
      </w:r>
    </w:p>
    <w:p w:rsidR="0066110C" w:rsidRPr="006864FA" w:rsidRDefault="00547D08" w:rsidP="00547D08">
      <w:pPr>
        <w:ind w:firstLine="708"/>
        <w:jc w:val="both"/>
        <w:rPr>
          <w:color w:val="000000"/>
          <w:sz w:val="26"/>
          <w:szCs w:val="26"/>
        </w:rPr>
      </w:pPr>
      <w:r w:rsidRPr="006864FA">
        <w:rPr>
          <w:sz w:val="26"/>
          <w:szCs w:val="26"/>
          <w:lang w:val="it-IT"/>
        </w:rPr>
        <w:t xml:space="preserve">-  în cooperare cu Instituțiile publicce abilitate și Autoritățile Locale de nivelul I – îi, va </w:t>
      </w:r>
      <w:r w:rsidRPr="006864FA">
        <w:rPr>
          <w:color w:val="000000"/>
          <w:sz w:val="26"/>
          <w:szCs w:val="26"/>
        </w:rPr>
        <w:t>asigura buna funcţionare a acestor instituţii în conformitate cu regulamentele şi standardele aprobate de Ministerul Educaţiei;</w:t>
      </w:r>
    </w:p>
    <w:p w:rsidR="00547D08" w:rsidRPr="006864FA" w:rsidRDefault="00547D08" w:rsidP="00547D08">
      <w:pPr>
        <w:ind w:firstLine="708"/>
        <w:jc w:val="both"/>
        <w:rPr>
          <w:sz w:val="26"/>
          <w:szCs w:val="26"/>
          <w:lang w:val="it-IT"/>
        </w:rPr>
      </w:pPr>
      <w:r w:rsidRPr="006864FA">
        <w:rPr>
          <w:sz w:val="26"/>
          <w:szCs w:val="26"/>
        </w:rPr>
        <w:t>- va asigura deplasarea în condiții de siguranță a elevilor din teritoriile arondate către districtele școlare, conform legislației în vigoare.</w:t>
      </w:r>
    </w:p>
    <w:p w:rsidR="0066110C" w:rsidRPr="006864FA" w:rsidRDefault="00547D08" w:rsidP="0066110C">
      <w:pPr>
        <w:ind w:firstLine="708"/>
        <w:jc w:val="both"/>
        <w:rPr>
          <w:sz w:val="26"/>
          <w:szCs w:val="26"/>
          <w:lang w:val="it-IT"/>
        </w:rPr>
      </w:pPr>
      <w:r w:rsidRPr="006864FA">
        <w:rPr>
          <w:sz w:val="26"/>
          <w:szCs w:val="26"/>
          <w:lang w:val="it-IT"/>
        </w:rPr>
        <w:t>3</w:t>
      </w:r>
      <w:r w:rsidR="0066110C" w:rsidRPr="006864FA">
        <w:rPr>
          <w:sz w:val="26"/>
          <w:szCs w:val="26"/>
          <w:lang w:val="it-IT"/>
        </w:rPr>
        <w:t xml:space="preserve">. Respobsabil de executarea prezentei decizii se desemnează </w:t>
      </w:r>
      <w:r w:rsidR="00CD61E7" w:rsidRPr="006864FA">
        <w:rPr>
          <w:sz w:val="26"/>
          <w:szCs w:val="26"/>
          <w:lang w:val="it-IT"/>
        </w:rPr>
        <w:t xml:space="preserve">Dna </w:t>
      </w:r>
      <w:r w:rsidRPr="006864FA">
        <w:rPr>
          <w:sz w:val="26"/>
          <w:szCs w:val="26"/>
          <w:lang w:val="it-IT"/>
        </w:rPr>
        <w:t>Ioxa Eugenia</w:t>
      </w:r>
      <w:r w:rsidR="0066110C" w:rsidRPr="006864FA">
        <w:rPr>
          <w:sz w:val="26"/>
          <w:szCs w:val="26"/>
          <w:lang w:val="it-IT"/>
        </w:rPr>
        <w:t xml:space="preserve"> – şeful </w:t>
      </w:r>
      <w:r w:rsidRPr="006864FA">
        <w:rPr>
          <w:sz w:val="26"/>
          <w:szCs w:val="26"/>
          <w:lang w:val="it-IT"/>
        </w:rPr>
        <w:t>Direcției</w:t>
      </w:r>
      <w:r w:rsidR="009C6A80" w:rsidRPr="006864FA">
        <w:rPr>
          <w:sz w:val="26"/>
          <w:szCs w:val="26"/>
          <w:lang w:val="it-IT"/>
        </w:rPr>
        <w:t xml:space="preserve"> Generale</w:t>
      </w:r>
      <w:r w:rsidRPr="006864FA">
        <w:rPr>
          <w:sz w:val="26"/>
          <w:szCs w:val="26"/>
          <w:lang w:val="it-IT"/>
        </w:rPr>
        <w:t xml:space="preserve"> Educație</w:t>
      </w:r>
      <w:r w:rsidR="0066110C" w:rsidRPr="006864FA">
        <w:rPr>
          <w:sz w:val="26"/>
          <w:szCs w:val="26"/>
          <w:lang w:val="it-IT"/>
        </w:rPr>
        <w:t xml:space="preserve"> Telenești.</w:t>
      </w:r>
    </w:p>
    <w:p w:rsidR="0066110C" w:rsidRPr="006864FA" w:rsidRDefault="00CD61E7" w:rsidP="0066110C">
      <w:pPr>
        <w:ind w:firstLine="708"/>
        <w:jc w:val="both"/>
        <w:rPr>
          <w:sz w:val="26"/>
          <w:szCs w:val="26"/>
          <w:lang w:val="it-IT"/>
        </w:rPr>
      </w:pPr>
      <w:r w:rsidRPr="006864FA">
        <w:rPr>
          <w:sz w:val="26"/>
          <w:szCs w:val="26"/>
          <w:lang w:val="it-IT"/>
        </w:rPr>
        <w:t>4</w:t>
      </w:r>
      <w:r w:rsidR="0066110C" w:rsidRPr="006864FA">
        <w:rPr>
          <w:sz w:val="26"/>
          <w:szCs w:val="26"/>
          <w:lang w:val="it-IT"/>
        </w:rPr>
        <w:t xml:space="preserve">. Controlul executării prezentei decizii se pune în sarcina </w:t>
      </w:r>
      <w:r w:rsidR="00547D08" w:rsidRPr="006864FA">
        <w:rPr>
          <w:sz w:val="26"/>
          <w:szCs w:val="26"/>
          <w:lang w:val="it-IT"/>
        </w:rPr>
        <w:t>Vicepreședintelui raionului pe</w:t>
      </w:r>
      <w:r w:rsidR="0066110C" w:rsidRPr="006864FA">
        <w:rPr>
          <w:sz w:val="26"/>
          <w:szCs w:val="26"/>
          <w:lang w:val="it-IT"/>
        </w:rPr>
        <w:t xml:space="preserve"> probleme sociale</w:t>
      </w:r>
      <w:r w:rsidR="00547D08" w:rsidRPr="006864FA">
        <w:rPr>
          <w:sz w:val="26"/>
          <w:szCs w:val="26"/>
          <w:lang w:val="it-IT"/>
        </w:rPr>
        <w:t>, Dna Ecaterina Furculiță</w:t>
      </w:r>
      <w:r w:rsidR="0066110C" w:rsidRPr="006864FA">
        <w:rPr>
          <w:sz w:val="26"/>
          <w:szCs w:val="26"/>
          <w:lang w:val="it-IT"/>
        </w:rPr>
        <w:t>.</w:t>
      </w:r>
    </w:p>
    <w:p w:rsidR="00B91997" w:rsidRPr="006864FA" w:rsidRDefault="00B91997" w:rsidP="00B91997">
      <w:pPr>
        <w:jc w:val="both"/>
        <w:rPr>
          <w:b/>
          <w:sz w:val="26"/>
          <w:szCs w:val="26"/>
        </w:rPr>
      </w:pPr>
      <w:r w:rsidRPr="006864FA">
        <w:rPr>
          <w:sz w:val="26"/>
          <w:szCs w:val="26"/>
          <w:lang w:val="it-IT"/>
        </w:rPr>
        <w:tab/>
        <w:t xml:space="preserve">5. Se abrogă Decizia nr. 7/7 din 10 decembrie 2015 cu privire la </w:t>
      </w:r>
      <w:r w:rsidRPr="006864FA">
        <w:rPr>
          <w:sz w:val="26"/>
          <w:szCs w:val="26"/>
        </w:rPr>
        <w:t>aprobarea districtelor  şcolare din teritoriul raionului Telenești.</w:t>
      </w:r>
    </w:p>
    <w:p w:rsidR="00C02FB4" w:rsidRPr="006864FA" w:rsidRDefault="00C02FB4" w:rsidP="00C02FB4">
      <w:pPr>
        <w:jc w:val="both"/>
        <w:rPr>
          <w:b/>
          <w:sz w:val="26"/>
          <w:szCs w:val="26"/>
        </w:rPr>
      </w:pPr>
      <w:r w:rsidRPr="006864FA">
        <w:rPr>
          <w:b/>
          <w:sz w:val="26"/>
          <w:szCs w:val="26"/>
        </w:rPr>
        <w:t xml:space="preserve"> </w:t>
      </w:r>
      <w:r w:rsidR="002C3208" w:rsidRPr="006864FA">
        <w:rPr>
          <w:b/>
          <w:sz w:val="26"/>
          <w:szCs w:val="26"/>
        </w:rPr>
        <w:t xml:space="preserve">        </w:t>
      </w:r>
      <w:r w:rsidRPr="006864FA">
        <w:rPr>
          <w:b/>
          <w:sz w:val="26"/>
          <w:szCs w:val="26"/>
        </w:rPr>
        <w:t xml:space="preserve"> </w:t>
      </w:r>
      <w:r w:rsidR="00B91997" w:rsidRPr="006864FA">
        <w:rPr>
          <w:b/>
          <w:sz w:val="26"/>
          <w:szCs w:val="26"/>
        </w:rPr>
        <w:t xml:space="preserve"> </w:t>
      </w:r>
      <w:r w:rsidR="00B91997" w:rsidRPr="006864FA">
        <w:rPr>
          <w:sz w:val="26"/>
          <w:szCs w:val="26"/>
        </w:rPr>
        <w:t>6</w:t>
      </w:r>
      <w:r w:rsidR="002C3208" w:rsidRPr="006864FA">
        <w:rPr>
          <w:sz w:val="26"/>
          <w:szCs w:val="26"/>
        </w:rPr>
        <w:t>.</w:t>
      </w:r>
      <w:r w:rsidR="002C3208" w:rsidRPr="006864FA">
        <w:rPr>
          <w:sz w:val="26"/>
          <w:szCs w:val="26"/>
          <w:lang w:eastAsia="ru-RU"/>
        </w:rPr>
        <w:t xml:space="preserve"> </w:t>
      </w:r>
      <w:r w:rsidR="002C3208" w:rsidRPr="006864FA">
        <w:rPr>
          <w:sz w:val="26"/>
          <w:szCs w:val="26"/>
        </w:rPr>
        <w:t xml:space="preserve">Prezenta decizie urmează a fi adusă la cunoştinţa persoanelor vizate şi intră în vigoare la data publicării pe site-ul oficial al Consiliului raional </w:t>
      </w:r>
      <w:proofErr w:type="spellStart"/>
      <w:r w:rsidR="002C3208" w:rsidRPr="006864FA">
        <w:rPr>
          <w:sz w:val="26"/>
          <w:szCs w:val="26"/>
        </w:rPr>
        <w:t>www.telenesti.md</w:t>
      </w:r>
      <w:proofErr w:type="spellEnd"/>
      <w:r w:rsidR="002C3208" w:rsidRPr="006864FA">
        <w:rPr>
          <w:sz w:val="26"/>
          <w:szCs w:val="26"/>
        </w:rPr>
        <w:t xml:space="preserve"> şi/sau  site-ul </w:t>
      </w:r>
      <w:proofErr w:type="spellStart"/>
      <w:r w:rsidR="002C3208" w:rsidRPr="006864FA">
        <w:rPr>
          <w:sz w:val="26"/>
          <w:szCs w:val="26"/>
        </w:rPr>
        <w:t>www.actelocale.md</w:t>
      </w:r>
      <w:proofErr w:type="spellEnd"/>
      <w:r w:rsidR="002C3208" w:rsidRPr="006864FA">
        <w:rPr>
          <w:sz w:val="26"/>
          <w:szCs w:val="26"/>
        </w:rPr>
        <w:t xml:space="preserve"> .</w:t>
      </w:r>
    </w:p>
    <w:p w:rsidR="002E1E28" w:rsidRPr="006864FA" w:rsidRDefault="002E1E28" w:rsidP="00C02FB4">
      <w:pPr>
        <w:jc w:val="both"/>
        <w:rPr>
          <w:b/>
          <w:sz w:val="26"/>
          <w:szCs w:val="26"/>
        </w:rPr>
      </w:pPr>
    </w:p>
    <w:p w:rsidR="00B91997" w:rsidRPr="006864FA" w:rsidRDefault="00B91997" w:rsidP="00C02FB4">
      <w:pPr>
        <w:jc w:val="both"/>
        <w:rPr>
          <w:b/>
          <w:sz w:val="26"/>
          <w:szCs w:val="26"/>
        </w:rPr>
      </w:pPr>
    </w:p>
    <w:p w:rsidR="002E1E28" w:rsidRPr="006864FA" w:rsidRDefault="0066110C" w:rsidP="00C02FB4">
      <w:pPr>
        <w:jc w:val="both"/>
        <w:rPr>
          <w:b/>
          <w:sz w:val="26"/>
          <w:szCs w:val="26"/>
        </w:rPr>
      </w:pPr>
      <w:r w:rsidRPr="006864FA">
        <w:rPr>
          <w:b/>
          <w:sz w:val="26"/>
          <w:szCs w:val="26"/>
        </w:rPr>
        <w:t xml:space="preserve">     </w:t>
      </w:r>
      <w:r w:rsidR="00B91997" w:rsidRPr="006864FA">
        <w:rPr>
          <w:b/>
          <w:sz w:val="26"/>
          <w:szCs w:val="26"/>
        </w:rPr>
        <w:t xml:space="preserve">     </w:t>
      </w:r>
      <w:r w:rsidRPr="006864FA">
        <w:rPr>
          <w:b/>
          <w:sz w:val="26"/>
          <w:szCs w:val="26"/>
        </w:rPr>
        <w:t xml:space="preserve">  </w:t>
      </w:r>
      <w:r w:rsidR="00C02FB4" w:rsidRPr="006864FA">
        <w:rPr>
          <w:b/>
          <w:sz w:val="26"/>
          <w:szCs w:val="26"/>
        </w:rPr>
        <w:t xml:space="preserve">Preşedintele şedinţei                                       </w:t>
      </w:r>
      <w:r w:rsidR="00D17A17" w:rsidRPr="006864FA">
        <w:rPr>
          <w:b/>
          <w:sz w:val="26"/>
          <w:szCs w:val="26"/>
        </w:rPr>
        <w:t xml:space="preserve">             </w:t>
      </w:r>
      <w:r w:rsidR="000D167D" w:rsidRPr="006864FA">
        <w:rPr>
          <w:b/>
          <w:sz w:val="26"/>
          <w:szCs w:val="26"/>
        </w:rPr>
        <w:t xml:space="preserve"> </w:t>
      </w:r>
      <w:r w:rsidR="001C53D5" w:rsidRPr="006864FA">
        <w:rPr>
          <w:b/>
          <w:sz w:val="26"/>
          <w:szCs w:val="26"/>
        </w:rPr>
        <w:t xml:space="preserve">   </w:t>
      </w:r>
      <w:r w:rsidR="000D167D" w:rsidRPr="006864FA">
        <w:rPr>
          <w:b/>
          <w:sz w:val="26"/>
          <w:szCs w:val="26"/>
        </w:rPr>
        <w:t xml:space="preserve">    </w:t>
      </w:r>
      <w:r w:rsidR="009B64E5" w:rsidRPr="006864FA">
        <w:rPr>
          <w:b/>
          <w:sz w:val="26"/>
          <w:szCs w:val="26"/>
        </w:rPr>
        <w:t xml:space="preserve"> </w:t>
      </w:r>
      <w:r w:rsidR="002E1E28" w:rsidRPr="006864FA">
        <w:rPr>
          <w:b/>
          <w:sz w:val="26"/>
          <w:szCs w:val="26"/>
        </w:rPr>
        <w:t xml:space="preserve">  </w:t>
      </w:r>
      <w:r w:rsidR="009B64E5" w:rsidRPr="006864FA">
        <w:rPr>
          <w:b/>
          <w:sz w:val="26"/>
          <w:szCs w:val="26"/>
        </w:rPr>
        <w:t xml:space="preserve"> </w:t>
      </w:r>
      <w:r w:rsidR="000D167D" w:rsidRPr="006864FA">
        <w:rPr>
          <w:b/>
          <w:sz w:val="26"/>
          <w:szCs w:val="26"/>
        </w:rPr>
        <w:t xml:space="preserve"> </w:t>
      </w:r>
      <w:r w:rsidR="006864FA" w:rsidRPr="006864FA">
        <w:rPr>
          <w:rFonts w:eastAsia="Calibri"/>
          <w:b/>
          <w:sz w:val="26"/>
          <w:szCs w:val="26"/>
        </w:rPr>
        <w:t xml:space="preserve">Vladimir </w:t>
      </w:r>
      <w:proofErr w:type="spellStart"/>
      <w:r w:rsidR="006864FA" w:rsidRPr="006864FA">
        <w:rPr>
          <w:rFonts w:eastAsia="Calibri"/>
          <w:b/>
          <w:sz w:val="26"/>
          <w:szCs w:val="26"/>
        </w:rPr>
        <w:t>Stratulat</w:t>
      </w:r>
      <w:proofErr w:type="spellEnd"/>
    </w:p>
    <w:p w:rsidR="002E1E28" w:rsidRPr="006864FA" w:rsidRDefault="002E1E28" w:rsidP="00C02FB4">
      <w:pPr>
        <w:jc w:val="both"/>
        <w:rPr>
          <w:b/>
          <w:sz w:val="26"/>
          <w:szCs w:val="26"/>
        </w:rPr>
      </w:pPr>
    </w:p>
    <w:p w:rsidR="00967C11" w:rsidRPr="006864FA" w:rsidRDefault="00B91997" w:rsidP="005A2F75">
      <w:pPr>
        <w:jc w:val="both"/>
        <w:rPr>
          <w:b/>
          <w:sz w:val="26"/>
          <w:szCs w:val="26"/>
        </w:rPr>
      </w:pPr>
      <w:r w:rsidRPr="006864FA">
        <w:rPr>
          <w:b/>
          <w:sz w:val="26"/>
          <w:szCs w:val="26"/>
        </w:rPr>
        <w:t xml:space="preserve">     </w:t>
      </w:r>
      <w:r w:rsidR="00193F62" w:rsidRPr="006864FA">
        <w:rPr>
          <w:b/>
          <w:sz w:val="26"/>
          <w:szCs w:val="26"/>
        </w:rPr>
        <w:t xml:space="preserve">Secretarul Consiliului Raional                                                       </w:t>
      </w:r>
      <w:r w:rsidR="006864FA">
        <w:rPr>
          <w:b/>
          <w:sz w:val="26"/>
          <w:szCs w:val="26"/>
        </w:rPr>
        <w:t xml:space="preserve">      </w:t>
      </w:r>
      <w:r w:rsidR="00193F62" w:rsidRPr="006864FA">
        <w:rPr>
          <w:b/>
          <w:sz w:val="26"/>
          <w:szCs w:val="26"/>
        </w:rPr>
        <w:t>Sergiu Lazăr</w:t>
      </w: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Pr="00560898" w:rsidRDefault="00560898" w:rsidP="00560898">
      <w:pPr>
        <w:jc w:val="right"/>
      </w:pPr>
      <w:r w:rsidRPr="00560898">
        <w:lastRenderedPageBreak/>
        <w:t xml:space="preserve">Anexă </w:t>
      </w:r>
    </w:p>
    <w:p w:rsidR="00560898" w:rsidRPr="00560898" w:rsidRDefault="006864FA" w:rsidP="00560898">
      <w:pPr>
        <w:jc w:val="right"/>
      </w:pPr>
      <w:r>
        <w:t>l</w:t>
      </w:r>
      <w:r w:rsidR="00730408">
        <w:t>a Decizia nr. 2/14</w:t>
      </w:r>
      <w:r w:rsidR="00560898" w:rsidRPr="00560898">
        <w:t xml:space="preserve"> din 07 aprilie 2017</w:t>
      </w:r>
    </w:p>
    <w:p w:rsidR="00560898" w:rsidRPr="00560898" w:rsidRDefault="00560898" w:rsidP="00560898">
      <w:pPr>
        <w:jc w:val="right"/>
        <w:rPr>
          <w:sz w:val="28"/>
          <w:szCs w:val="28"/>
        </w:rPr>
      </w:pPr>
    </w:p>
    <w:p w:rsidR="00560898" w:rsidRDefault="00560898" w:rsidP="0056089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LISTA</w:t>
      </w:r>
    </w:p>
    <w:p w:rsidR="00560898" w:rsidRDefault="00560898" w:rsidP="0056089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districtelor școlare din raza raionului Telenești</w:t>
      </w:r>
    </w:p>
    <w:p w:rsidR="00560898" w:rsidRDefault="00560898" w:rsidP="00560898">
      <w:pPr>
        <w:jc w:val="center"/>
        <w:rPr>
          <w:sz w:val="28"/>
          <w:szCs w:val="28"/>
        </w:rPr>
      </w:pPr>
    </w:p>
    <w:p w:rsidR="00560898" w:rsidRDefault="00560898" w:rsidP="00560898">
      <w:pPr>
        <w:jc w:val="center"/>
        <w:rPr>
          <w:sz w:val="28"/>
          <w:szCs w:val="28"/>
        </w:rPr>
      </w:pPr>
    </w:p>
    <w:tbl>
      <w:tblPr>
        <w:tblStyle w:val="GrilTabel"/>
        <w:tblW w:w="0" w:type="auto"/>
        <w:tblLook w:val="04A0"/>
      </w:tblPr>
      <w:tblGrid>
        <w:gridCol w:w="675"/>
        <w:gridCol w:w="3828"/>
        <w:gridCol w:w="2268"/>
        <w:gridCol w:w="2800"/>
      </w:tblGrid>
      <w:tr w:rsidR="00560898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Pr="00B91997" w:rsidRDefault="00560898" w:rsidP="000F2180">
            <w:pPr>
              <w:rPr>
                <w:b/>
              </w:rPr>
            </w:pPr>
            <w:r w:rsidRPr="00B91997">
              <w:rPr>
                <w:b/>
              </w:rPr>
              <w:t>N/o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Pr="00B91997" w:rsidRDefault="00032A9A" w:rsidP="000F2180">
            <w:pPr>
              <w:rPr>
                <w:b/>
              </w:rPr>
            </w:pPr>
            <w:r w:rsidRPr="00B91997">
              <w:rPr>
                <w:b/>
              </w:rPr>
              <w:t>Districtul școlar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Pr="00B91997" w:rsidRDefault="00560898" w:rsidP="000F2180">
            <w:pPr>
              <w:rPr>
                <w:b/>
              </w:rPr>
            </w:pPr>
            <w:r w:rsidRPr="00B91997">
              <w:rPr>
                <w:b/>
              </w:rPr>
              <w:t>Localități arondate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Pr="00B91997" w:rsidRDefault="00032A9A" w:rsidP="000F2180">
            <w:pPr>
              <w:rPr>
                <w:b/>
              </w:rPr>
            </w:pPr>
            <w:r w:rsidRPr="00B91997">
              <w:rPr>
                <w:b/>
              </w:rPr>
              <w:t>Distanța</w:t>
            </w:r>
            <w:r w:rsidR="00B91997">
              <w:rPr>
                <w:b/>
              </w:rPr>
              <w:t xml:space="preserve"> de la localitatea arondată </w:t>
            </w:r>
            <w:bookmarkStart w:id="0" w:name="_GoBack"/>
            <w:bookmarkEnd w:id="0"/>
            <w:r w:rsidRPr="00B91997">
              <w:rPr>
                <w:b/>
              </w:rPr>
              <w:t xml:space="preserve"> până la școala din district</w:t>
            </w:r>
          </w:p>
        </w:tc>
      </w:tr>
      <w:tr w:rsidR="00FA587C" w:rsidTr="00FA587C">
        <w:trPr>
          <w:trHeight w:val="2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>1</w:t>
            </w:r>
            <w:r w:rsidR="008C24B9"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FA587C" w:rsidRPr="00032A9A" w:rsidRDefault="00730408" w:rsidP="000F2180">
            <w:r>
              <w:t>Gimnaziul</w:t>
            </w:r>
            <w:r w:rsidR="00FA587C">
              <w:t xml:space="preserve"> ”Vasile </w:t>
            </w:r>
            <w:proofErr w:type="spellStart"/>
            <w:r w:rsidR="00FA587C">
              <w:t>Anestiade</w:t>
            </w:r>
            <w:proofErr w:type="spellEnd"/>
            <w:r w:rsidR="00FA587C">
              <w:t>” Sărătenii Vechi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587C" w:rsidRDefault="00FA587C" w:rsidP="000F2180">
            <w:proofErr w:type="spellStart"/>
            <w:r>
              <w:t>Zahareuca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>5 km</w:t>
            </w:r>
          </w:p>
        </w:tc>
      </w:tr>
      <w:tr w:rsidR="00FA587C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87C" w:rsidRDefault="008C24B9" w:rsidP="000F2180"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587C" w:rsidRDefault="00FA587C" w:rsidP="000F2180">
            <w:r>
              <w:t>Gimnaziul ”D. Cantemir” Mândrești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>Cucioaia</w:t>
            </w:r>
          </w:p>
        </w:tc>
        <w:tc>
          <w:tcPr>
            <w:tcW w:w="28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>12 km</w:t>
            </w:r>
          </w:p>
        </w:tc>
      </w:tr>
      <w:tr w:rsidR="00560898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8C24B9" w:rsidP="000F2180">
            <w: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60898" w:rsidRDefault="00560898" w:rsidP="000F2180">
            <w:r>
              <w:t xml:space="preserve">Gimnaziul </w:t>
            </w:r>
            <w:proofErr w:type="spellStart"/>
            <w:r>
              <w:t>Țînțăreni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Pr="00B91997" w:rsidRDefault="00560898" w:rsidP="000F2180">
            <w:r w:rsidRPr="00B91997">
              <w:t>Codru Nou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FA587C" w:rsidP="000F2180">
            <w:r>
              <w:t>3 km</w:t>
            </w:r>
          </w:p>
        </w:tc>
      </w:tr>
      <w:tr w:rsidR="00560898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8C24B9" w:rsidP="000F2180">
            <w: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 xml:space="preserve">Gimnaziul </w:t>
            </w:r>
            <w:proofErr w:type="spellStart"/>
            <w:r>
              <w:t>Brînzenii</w:t>
            </w:r>
            <w:proofErr w:type="spellEnd"/>
            <w:r>
              <w:t xml:space="preserve"> Vechi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proofErr w:type="spellStart"/>
            <w:r>
              <w:t>Brînzenii</w:t>
            </w:r>
            <w:proofErr w:type="spellEnd"/>
            <w:r>
              <w:t xml:space="preserve"> Noi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FA587C" w:rsidP="000F2180">
            <w:r>
              <w:t>1-3 km</w:t>
            </w:r>
          </w:p>
        </w:tc>
      </w:tr>
      <w:tr w:rsidR="00FA587C" w:rsidTr="000F4636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587C" w:rsidRDefault="008C24B9" w:rsidP="000F2180">
            <w:r>
              <w:t>5.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>Gimnaziul ”Anton Moraru”</w:t>
            </w:r>
          </w:p>
          <w:p w:rsidR="00FA587C" w:rsidRDefault="00FA587C" w:rsidP="000F2180">
            <w:r>
              <w:t>Pistruieni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587C" w:rsidRDefault="00FA587C" w:rsidP="000F2180">
            <w:proofErr w:type="spellStart"/>
            <w:r>
              <w:t>Hîrtop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>9 km</w:t>
            </w:r>
          </w:p>
        </w:tc>
      </w:tr>
      <w:tr w:rsidR="00FA587C" w:rsidTr="00AD09A4">
        <w:trPr>
          <w:trHeight w:val="237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587C" w:rsidRDefault="00FA587C" w:rsidP="000F2180"/>
        </w:tc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587C" w:rsidRDefault="00FA587C" w:rsidP="000F2180"/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587C" w:rsidRDefault="00FA587C" w:rsidP="000F2180">
            <w:r>
              <w:t>Pistruienii Noi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587C" w:rsidRDefault="00FA587C" w:rsidP="000F2180">
            <w:r>
              <w:t>2 km</w:t>
            </w:r>
          </w:p>
        </w:tc>
      </w:tr>
      <w:tr w:rsidR="00730408" w:rsidTr="0064420F">
        <w:trPr>
          <w:trHeight w:val="326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08" w:rsidRDefault="00730408" w:rsidP="000F2180"/>
        </w:tc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08" w:rsidRDefault="00730408" w:rsidP="000F2180"/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08" w:rsidRDefault="00730408" w:rsidP="000F2180"/>
        </w:tc>
      </w:tr>
      <w:tr w:rsidR="00560898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8C24B9" w:rsidP="000F2180">
            <w: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 xml:space="preserve">Gimnaziul ”Ion </w:t>
            </w:r>
            <w:proofErr w:type="spellStart"/>
            <w:r>
              <w:t>Bînzari</w:t>
            </w:r>
            <w:proofErr w:type="spellEnd"/>
            <w:r>
              <w:t>” Hirișeni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>Codru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FA587C" w:rsidP="000F2180">
            <w:r>
              <w:t>5 km</w:t>
            </w:r>
          </w:p>
        </w:tc>
      </w:tr>
      <w:tr w:rsidR="00560898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8C24B9" w:rsidP="000F2180">
            <w:r>
              <w:t>7.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>Gimnaziul Suhuluceni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>Ghermănești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FA587C" w:rsidP="000F2180">
            <w:r>
              <w:t>5 km</w:t>
            </w:r>
          </w:p>
        </w:tc>
      </w:tr>
      <w:tr w:rsidR="00560898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8C24B9" w:rsidP="000F2180">
            <w:r>
              <w:t>8.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 xml:space="preserve">Gimnaziul ”Valeriu </w:t>
            </w:r>
            <w:proofErr w:type="spellStart"/>
            <w:r>
              <w:t>Cordineanu</w:t>
            </w:r>
            <w:proofErr w:type="spellEnd"/>
            <w:r>
              <w:t>”</w:t>
            </w:r>
          </w:p>
          <w:p w:rsidR="00560898" w:rsidRDefault="00560898" w:rsidP="000F2180">
            <w:r>
              <w:t>Chițcanii Vechi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>Chițcanii Noi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FA587C" w:rsidP="000F2180">
            <w:r>
              <w:t>4 km</w:t>
            </w:r>
          </w:p>
        </w:tc>
      </w:tr>
      <w:tr w:rsidR="00FA587C" w:rsidTr="00EB33CD">
        <w:trPr>
          <w:trHeight w:val="301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587C" w:rsidRDefault="008C24B9" w:rsidP="000F2180">
            <w:r>
              <w:t>9.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>Gimnaziul Ratuș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 xml:space="preserve">Mândra, 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587C" w:rsidRDefault="00FA587C" w:rsidP="000F2180">
            <w:r>
              <w:t>1,5 km</w:t>
            </w:r>
          </w:p>
        </w:tc>
      </w:tr>
      <w:tr w:rsidR="00FA587C" w:rsidTr="00C31510">
        <w:trPr>
          <w:trHeight w:val="250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587C" w:rsidRDefault="00FA587C" w:rsidP="000F2180"/>
        </w:tc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587C" w:rsidRDefault="00FA587C" w:rsidP="000F2180"/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587C" w:rsidRDefault="00FA587C" w:rsidP="000F2180">
            <w:r>
              <w:t>Zăicanii Vechi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587C" w:rsidRDefault="00FA587C" w:rsidP="000F2180">
            <w:r>
              <w:t>2 km</w:t>
            </w:r>
          </w:p>
        </w:tc>
      </w:tr>
      <w:tr w:rsidR="00FA587C" w:rsidTr="00EB33CD">
        <w:trPr>
          <w:trHeight w:val="301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7C" w:rsidRDefault="00FA587C" w:rsidP="000F2180"/>
        </w:tc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7C" w:rsidRDefault="00FA587C" w:rsidP="000F2180"/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7C" w:rsidRDefault="00FA587C" w:rsidP="000F2180">
            <w:r>
              <w:t>Zăicanii Noi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7C" w:rsidRDefault="00FA587C" w:rsidP="000F2180">
            <w:r>
              <w:t>2,5 km</w:t>
            </w:r>
          </w:p>
        </w:tc>
      </w:tr>
      <w:tr w:rsidR="00560898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8C24B9">
            <w:r>
              <w:t>1</w:t>
            </w:r>
            <w:r w:rsidR="008C24B9">
              <w:t>0.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>Gimnaziul Coropceni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>Sărătenii Noi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8C24B9" w:rsidP="00FA587C">
            <w:r>
              <w:t>4</w:t>
            </w:r>
            <w:r w:rsidR="00FA587C">
              <w:t xml:space="preserve"> km</w:t>
            </w:r>
          </w:p>
        </w:tc>
      </w:tr>
      <w:tr w:rsidR="00560898" w:rsidTr="00FA587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8C24B9">
            <w:r>
              <w:t>1</w:t>
            </w:r>
            <w:r w:rsidR="008C24B9"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 xml:space="preserve">Gimnaziul </w:t>
            </w:r>
            <w:proofErr w:type="spellStart"/>
            <w:r>
              <w:t>Tîrșiței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560898" w:rsidP="000F2180">
            <w:r>
              <w:t>Flutura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898" w:rsidRDefault="008C24B9" w:rsidP="000F2180">
            <w:r>
              <w:t>2-3 km</w:t>
            </w:r>
          </w:p>
        </w:tc>
      </w:tr>
    </w:tbl>
    <w:p w:rsidR="00560898" w:rsidRDefault="00560898" w:rsidP="005608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0898" w:rsidRDefault="00560898" w:rsidP="00560898">
      <w:pPr>
        <w:jc w:val="center"/>
      </w:pPr>
    </w:p>
    <w:p w:rsidR="00560898" w:rsidRDefault="00560898" w:rsidP="00560898">
      <w:pPr>
        <w:jc w:val="center"/>
      </w:pPr>
    </w:p>
    <w:p w:rsidR="00560898" w:rsidRPr="00560898" w:rsidRDefault="00560898" w:rsidP="00560898">
      <w:pPr>
        <w:jc w:val="center"/>
        <w:rPr>
          <w:b/>
        </w:rPr>
      </w:pPr>
      <w:r w:rsidRPr="00560898">
        <w:rPr>
          <w:b/>
        </w:rPr>
        <w:t>Șeful  DGE Telenești                                 Eugenia IOXA</w:t>
      </w: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8C24B9" w:rsidRDefault="008C24B9" w:rsidP="005A2F75">
      <w:pPr>
        <w:jc w:val="both"/>
        <w:rPr>
          <w:b/>
          <w:sz w:val="26"/>
          <w:szCs w:val="26"/>
        </w:rPr>
      </w:pPr>
    </w:p>
    <w:p w:rsidR="008C24B9" w:rsidRDefault="008C24B9" w:rsidP="005A2F75">
      <w:pPr>
        <w:jc w:val="both"/>
        <w:rPr>
          <w:b/>
          <w:sz w:val="26"/>
          <w:szCs w:val="26"/>
        </w:rPr>
      </w:pPr>
    </w:p>
    <w:p w:rsidR="008C24B9" w:rsidRDefault="008C24B9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6864FA" w:rsidRDefault="006864FA" w:rsidP="005A2F75">
      <w:pPr>
        <w:jc w:val="both"/>
        <w:rPr>
          <w:b/>
          <w:sz w:val="26"/>
          <w:szCs w:val="26"/>
        </w:rPr>
      </w:pPr>
    </w:p>
    <w:p w:rsidR="006864FA" w:rsidRDefault="006864FA" w:rsidP="005A2F75">
      <w:pPr>
        <w:jc w:val="both"/>
        <w:rPr>
          <w:b/>
          <w:sz w:val="26"/>
          <w:szCs w:val="26"/>
        </w:rPr>
      </w:pPr>
    </w:p>
    <w:p w:rsidR="006864FA" w:rsidRDefault="006864FA" w:rsidP="005A2F75">
      <w:pPr>
        <w:jc w:val="both"/>
        <w:rPr>
          <w:b/>
          <w:sz w:val="26"/>
          <w:szCs w:val="26"/>
        </w:rPr>
      </w:pPr>
    </w:p>
    <w:p w:rsidR="00560898" w:rsidRPr="003D2E96" w:rsidRDefault="00560898" w:rsidP="00560898">
      <w:pPr>
        <w:jc w:val="center"/>
        <w:rPr>
          <w:b/>
        </w:rPr>
      </w:pPr>
    </w:p>
    <w:p w:rsidR="00560898" w:rsidRPr="003D2E96" w:rsidRDefault="00560898" w:rsidP="00560898">
      <w:pPr>
        <w:jc w:val="center"/>
        <w:rPr>
          <w:i/>
        </w:rPr>
      </w:pPr>
      <w:r w:rsidRPr="003D2E96">
        <w:rPr>
          <w:b/>
        </w:rPr>
        <w:t>NOTĂ INFORMATIVĂ</w:t>
      </w:r>
    </w:p>
    <w:p w:rsidR="00560898" w:rsidRPr="00274F64" w:rsidRDefault="00560898" w:rsidP="00560898">
      <w:pPr>
        <w:pStyle w:val="1"/>
        <w:ind w:left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proofErr w:type="gramStart"/>
      <w:r w:rsidRPr="003D2E96">
        <w:rPr>
          <w:rFonts w:ascii="Times New Roman" w:hAnsi="Times New Roman"/>
          <w:sz w:val="24"/>
          <w:szCs w:val="24"/>
          <w:lang w:val="fr-FR"/>
        </w:rPr>
        <w:t>la</w:t>
      </w:r>
      <w:proofErr w:type="gramEnd"/>
      <w:r w:rsidRPr="003D2E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2E96">
        <w:rPr>
          <w:rFonts w:ascii="Times New Roman" w:hAnsi="Times New Roman"/>
          <w:sz w:val="24"/>
          <w:szCs w:val="24"/>
          <w:lang w:val="fr-FR"/>
        </w:rPr>
        <w:t>proiectul</w:t>
      </w:r>
      <w:proofErr w:type="spellEnd"/>
      <w:r w:rsidRPr="003D2E9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D2E96">
        <w:rPr>
          <w:rFonts w:ascii="Times New Roman" w:hAnsi="Times New Roman"/>
          <w:sz w:val="24"/>
          <w:szCs w:val="24"/>
          <w:lang w:val="fr-FR"/>
        </w:rPr>
        <w:t>Decizie</w:t>
      </w:r>
      <w:proofErr w:type="spellEnd"/>
      <w:r w:rsidRPr="003D2E96">
        <w:rPr>
          <w:rFonts w:ascii="Times New Roman" w:hAnsi="Times New Roman"/>
          <w:sz w:val="24"/>
          <w:szCs w:val="24"/>
          <w:lang w:val="fr-FR"/>
        </w:rPr>
        <w:t xml:space="preserve"> nr-</w:t>
      </w:r>
      <w:r>
        <w:rPr>
          <w:rFonts w:ascii="Times New Roman" w:hAnsi="Times New Roman"/>
          <w:sz w:val="24"/>
          <w:szCs w:val="24"/>
          <w:lang w:val="fr-FR"/>
        </w:rPr>
        <w:t xml:space="preserve"> 2/</w:t>
      </w:r>
      <w:r w:rsidRPr="003D2E96">
        <w:rPr>
          <w:rFonts w:ascii="Times New Roman" w:hAnsi="Times New Roman"/>
          <w:sz w:val="24"/>
          <w:szCs w:val="24"/>
          <w:lang w:val="fr-FR"/>
        </w:rPr>
        <w:t xml:space="preserve">___ 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D2E9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07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aprilie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2017</w:t>
      </w:r>
      <w:r w:rsidRPr="003D2E96">
        <w:rPr>
          <w:rFonts w:ascii="Times New Roman" w:hAnsi="Times New Roman"/>
          <w:sz w:val="24"/>
          <w:szCs w:val="24"/>
          <w:lang w:val="fr-FR"/>
        </w:rPr>
        <w:br/>
        <w:t xml:space="preserve">Cu </w:t>
      </w:r>
      <w:proofErr w:type="spellStart"/>
      <w:r w:rsidRPr="003D2E96">
        <w:rPr>
          <w:rFonts w:ascii="Times New Roman" w:hAnsi="Times New Roman"/>
          <w:sz w:val="24"/>
          <w:szCs w:val="24"/>
          <w:lang w:val="fr-FR"/>
        </w:rPr>
        <w:t>privire</w:t>
      </w:r>
      <w:proofErr w:type="spellEnd"/>
      <w:r w:rsidRPr="003D2E96">
        <w:rPr>
          <w:rFonts w:ascii="Times New Roman" w:hAnsi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/>
          <w:sz w:val="24"/>
          <w:szCs w:val="24"/>
          <w:lang w:val="ro-RO"/>
        </w:rPr>
        <w:t>aprobarea districtelor școlare pentru anul școlar 2017 - 2018</w:t>
      </w:r>
      <w:r>
        <w:rPr>
          <w:rStyle w:val="apple-style-span"/>
          <w:rFonts w:ascii="Times New Roman" w:hAnsi="Times New Roman"/>
          <w:color w:val="000000"/>
          <w:sz w:val="24"/>
          <w:szCs w:val="24"/>
          <w:lang w:val="ro-RO"/>
        </w:rPr>
        <w:t>.</w:t>
      </w:r>
    </w:p>
    <w:tbl>
      <w:tblPr>
        <w:tblStyle w:val="GrilTabel"/>
        <w:tblW w:w="10065" w:type="dxa"/>
        <w:tblInd w:w="-318" w:type="dxa"/>
        <w:tblLook w:val="04A0"/>
      </w:tblPr>
      <w:tblGrid>
        <w:gridCol w:w="1419"/>
        <w:gridCol w:w="8646"/>
      </w:tblGrid>
      <w:tr w:rsidR="00560898" w:rsidRPr="003D2E96" w:rsidTr="000F2180">
        <w:trPr>
          <w:cantSplit/>
          <w:trHeight w:val="1329"/>
        </w:trPr>
        <w:tc>
          <w:tcPr>
            <w:tcW w:w="1419" w:type="dxa"/>
            <w:textDirection w:val="btLr"/>
          </w:tcPr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Inițiatorul</w:t>
            </w:r>
          </w:p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Proiectului</w:t>
            </w:r>
          </w:p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(1)</w:t>
            </w:r>
          </w:p>
        </w:tc>
        <w:tc>
          <w:tcPr>
            <w:tcW w:w="8646" w:type="dxa"/>
          </w:tcPr>
          <w:p w:rsidR="00560898" w:rsidRDefault="00560898" w:rsidP="000F2180">
            <w:pPr>
              <w:pStyle w:val="1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D2E9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      </w:t>
            </w:r>
          </w:p>
          <w:p w:rsidR="00560898" w:rsidRPr="003D2E96" w:rsidRDefault="00560898" w:rsidP="000F2180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2E9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Proiectul Deciziei cu privire la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aprobarea districtelor școlare</w:t>
            </w:r>
            <w:r w:rsidRPr="003D2E9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 fost elaborat de către Direcția Generală Educ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ație Telenești.</w:t>
            </w:r>
          </w:p>
        </w:tc>
      </w:tr>
      <w:tr w:rsidR="00560898" w:rsidRPr="003D2E96" w:rsidTr="000F2180">
        <w:trPr>
          <w:cantSplit/>
          <w:trHeight w:val="2823"/>
        </w:trPr>
        <w:tc>
          <w:tcPr>
            <w:tcW w:w="1419" w:type="dxa"/>
            <w:textDirection w:val="btLr"/>
          </w:tcPr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Reglementarea juridic</w:t>
            </w:r>
          </w:p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(2)</w:t>
            </w:r>
          </w:p>
        </w:tc>
        <w:tc>
          <w:tcPr>
            <w:tcW w:w="8646" w:type="dxa"/>
          </w:tcPr>
          <w:p w:rsidR="00560898" w:rsidRPr="003D2E96" w:rsidRDefault="00560898" w:rsidP="000F2180">
            <w:pPr>
              <w:pStyle w:val="1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D2E9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Proiectul Deciziei cu privire la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aprobarea districtelor școlare este elaborat în conformitate cu următoarele acte juridice: Codul educației al Republicii Moldova, art. 21, p. (2; Regulamentul – tip de organizare și funcționare a instituțiilor de învățământ primar și secundar, ciclul I, II;, Legea nr.137 din 16.10.2003 privind finanțele publice locale, Legea nr.317 din 18.07.2003 privind actele normative ale Guvernului și ale altor autorități ale administrației publice centrale și locale.</w:t>
            </w:r>
          </w:p>
        </w:tc>
      </w:tr>
      <w:tr w:rsidR="00560898" w:rsidRPr="003D2E96" w:rsidTr="000F2180">
        <w:trPr>
          <w:cantSplit/>
          <w:trHeight w:val="2112"/>
        </w:trPr>
        <w:tc>
          <w:tcPr>
            <w:tcW w:w="1419" w:type="dxa"/>
            <w:textDirection w:val="btLr"/>
          </w:tcPr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Scopul  Proiectului</w:t>
            </w:r>
          </w:p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(3)</w:t>
            </w:r>
          </w:p>
        </w:tc>
        <w:tc>
          <w:tcPr>
            <w:tcW w:w="8646" w:type="dxa"/>
          </w:tcPr>
          <w:p w:rsidR="00560898" w:rsidRPr="003D2E96" w:rsidRDefault="00560898" w:rsidP="000F2180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3D2E96">
              <w:rPr>
                <w:rFonts w:eastAsia="Calibri"/>
                <w:b/>
                <w:i/>
              </w:rPr>
              <w:t>Scopul proiectului</w:t>
            </w:r>
            <w:r w:rsidRPr="003D2E96">
              <w:rPr>
                <w:rFonts w:eastAsia="Calibri"/>
                <w:i/>
              </w:rPr>
              <w:t xml:space="preserve"> de decizie este să asigure : </w:t>
            </w:r>
          </w:p>
          <w:p w:rsidR="00560898" w:rsidRDefault="00560898" w:rsidP="00560898">
            <w:pPr>
              <w:pStyle w:val="1"/>
              <w:numPr>
                <w:ilvl w:val="0"/>
                <w:numId w:val="7"/>
              </w:numPr>
              <w:spacing w:after="0"/>
              <w:jc w:val="both"/>
              <w:rPr>
                <w:rStyle w:val="apple-style-span"/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Style w:val="apple-style-span"/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 școlarizarea tuturor copiilor de vârstă școlară din localitățile în care au fost lichidate/reorganizate instituțiile școlare;</w:t>
            </w:r>
          </w:p>
          <w:p w:rsidR="00560898" w:rsidRPr="00240490" w:rsidRDefault="00560898" w:rsidP="00560898">
            <w:pPr>
              <w:pStyle w:val="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responsabilizarea conducătorilor școlilor de circumscripție pentru asigurarea accesului la studii tuturor copiilor din localitățile arondate.</w:t>
            </w:r>
          </w:p>
        </w:tc>
      </w:tr>
      <w:tr w:rsidR="00560898" w:rsidRPr="003D2E96" w:rsidTr="000F2180">
        <w:trPr>
          <w:cantSplit/>
          <w:trHeight w:val="1550"/>
        </w:trPr>
        <w:tc>
          <w:tcPr>
            <w:tcW w:w="1419" w:type="dxa"/>
            <w:textDirection w:val="btLr"/>
          </w:tcPr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>
              <w:t>Argumentare</w:t>
            </w:r>
          </w:p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(4)</w:t>
            </w:r>
          </w:p>
        </w:tc>
        <w:tc>
          <w:tcPr>
            <w:tcW w:w="8646" w:type="dxa"/>
          </w:tcPr>
          <w:p w:rsidR="00560898" w:rsidRDefault="00560898" w:rsidP="000F2180">
            <w:pPr>
              <w:spacing w:before="100" w:beforeAutospacing="1" w:after="100" w:afterAutospacing="1" w:line="276" w:lineRule="auto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În conformitate cu Programul de dezvoltare strategică a învățământului, anual se produc schimbări în rețeaua școlară, condiționate de reorganizarea instituțiilor mici. </w:t>
            </w:r>
          </w:p>
          <w:p w:rsidR="00560898" w:rsidRDefault="00560898" w:rsidP="000F2180">
            <w:pPr>
              <w:spacing w:before="100" w:beforeAutospacing="1" w:after="100" w:afterAutospacing="1" w:line="276" w:lineRule="auto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În acest context, este oportună responsabilizarea directorilor de școli care arondează elevi din alte localități. </w:t>
            </w:r>
          </w:p>
          <w:p w:rsidR="00560898" w:rsidRPr="003D2E96" w:rsidRDefault="00560898" w:rsidP="000F2180">
            <w:pPr>
              <w:spacing w:before="100" w:beforeAutospacing="1" w:after="100" w:afterAutospacing="1" w:line="276" w:lineRule="auto"/>
              <w:contextualSpacing/>
              <w:jc w:val="both"/>
              <w:rPr>
                <w:i/>
              </w:rPr>
            </w:pPr>
            <w:proofErr w:type="spellStart"/>
            <w:r>
              <w:rPr>
                <w:i/>
              </w:rPr>
              <w:t>Deaceea</w:t>
            </w:r>
            <w:proofErr w:type="spellEnd"/>
            <w:r>
              <w:rPr>
                <w:i/>
              </w:rPr>
              <w:t xml:space="preserve"> se impune necesitatea aprobării districtelor școlare prin decizia Consiliului Raional.</w:t>
            </w:r>
          </w:p>
        </w:tc>
      </w:tr>
      <w:tr w:rsidR="00560898" w:rsidRPr="003D2E96" w:rsidTr="000F2180">
        <w:trPr>
          <w:cantSplit/>
          <w:trHeight w:val="1261"/>
        </w:trPr>
        <w:tc>
          <w:tcPr>
            <w:tcW w:w="1419" w:type="dxa"/>
            <w:textDirection w:val="btLr"/>
          </w:tcPr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proofErr w:type="spellStart"/>
            <w:r>
              <w:t>Anal</w:t>
            </w:r>
            <w:r w:rsidRPr="003D2E96">
              <w:t>z</w:t>
            </w:r>
            <w:r>
              <w:t>i</w:t>
            </w:r>
            <w:r w:rsidRPr="003D2E96">
              <w:t>a</w:t>
            </w:r>
            <w:proofErr w:type="spellEnd"/>
          </w:p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(5)</w:t>
            </w:r>
          </w:p>
        </w:tc>
        <w:tc>
          <w:tcPr>
            <w:tcW w:w="8646" w:type="dxa"/>
          </w:tcPr>
          <w:p w:rsidR="00560898" w:rsidRDefault="00560898" w:rsidP="000F2180">
            <w:pPr>
              <w:spacing w:before="100" w:beforeAutospacing="1" w:after="100" w:afterAutospacing="1" w:line="276" w:lineRule="auto"/>
              <w:contextualSpacing/>
              <w:jc w:val="both"/>
              <w:rPr>
                <w:i/>
              </w:rPr>
            </w:pPr>
            <w:r w:rsidRPr="003D2E96">
              <w:rPr>
                <w:i/>
              </w:rPr>
              <w:t xml:space="preserve">  </w:t>
            </w:r>
            <w:r>
              <w:rPr>
                <w:i/>
              </w:rPr>
              <w:t>Urmare a analizelor efectuate, DGE Telenești a stabilit districtele școlare (în anexă) în număr de 14 (paisprezece), școlile de circumscripție la care sunt arondate, itinerarul autobuzelor școlare, a distribuit unitățile auto care asigură transportarea copiilor, a responsabilizat prin ordin însoțitorii de autobuze.</w:t>
            </w:r>
          </w:p>
          <w:p w:rsidR="00560898" w:rsidRPr="003D2E96" w:rsidRDefault="00560898" w:rsidP="000F2180">
            <w:pPr>
              <w:spacing w:before="100" w:beforeAutospacing="1" w:after="100" w:afterAutospacing="1" w:line="276" w:lineRule="auto"/>
              <w:contextualSpacing/>
              <w:jc w:val="both"/>
              <w:rPr>
                <w:i/>
              </w:rPr>
            </w:pPr>
            <w:r>
              <w:rPr>
                <w:i/>
              </w:rPr>
              <w:t>În contextul celor relatate, Direcția Generală Educație propune Consiliului Raional să ia act de nota informativă și să decidă aprobarea districtelor școlare (anexa 1)</w:t>
            </w:r>
          </w:p>
        </w:tc>
      </w:tr>
      <w:tr w:rsidR="00560898" w:rsidRPr="003D2E96" w:rsidTr="000F2180">
        <w:trPr>
          <w:cantSplit/>
          <w:trHeight w:val="1401"/>
        </w:trPr>
        <w:tc>
          <w:tcPr>
            <w:tcW w:w="1419" w:type="dxa"/>
            <w:textDirection w:val="btLr"/>
          </w:tcPr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Mijloacele financiare</w:t>
            </w:r>
          </w:p>
          <w:p w:rsidR="00560898" w:rsidRPr="003D2E96" w:rsidRDefault="00560898" w:rsidP="000F2180">
            <w:pPr>
              <w:spacing w:line="276" w:lineRule="auto"/>
              <w:ind w:left="113" w:right="113"/>
              <w:jc w:val="center"/>
            </w:pPr>
            <w:r w:rsidRPr="003D2E96">
              <w:t>(6)</w:t>
            </w:r>
          </w:p>
        </w:tc>
        <w:tc>
          <w:tcPr>
            <w:tcW w:w="8646" w:type="dxa"/>
          </w:tcPr>
          <w:p w:rsidR="00560898" w:rsidRPr="003D2E96" w:rsidRDefault="00560898" w:rsidP="000F2180">
            <w:pPr>
              <w:jc w:val="both"/>
              <w:rPr>
                <w:i/>
              </w:rPr>
            </w:pPr>
            <w:r>
              <w:rPr>
                <w:i/>
              </w:rPr>
              <w:t xml:space="preserve">Cheltuielile pentru asigurarea școlarizării copiilor din </w:t>
            </w:r>
            <w:proofErr w:type="spellStart"/>
            <w:r>
              <w:rPr>
                <w:i/>
              </w:rPr>
              <w:t>disctrictele</w:t>
            </w:r>
            <w:proofErr w:type="spellEnd"/>
            <w:r>
              <w:rPr>
                <w:i/>
              </w:rPr>
              <w:t xml:space="preserve"> școlare, transportarea către școlile de circumscripție sunt suportate de bugetul DGE  .</w:t>
            </w:r>
          </w:p>
        </w:tc>
      </w:tr>
    </w:tbl>
    <w:p w:rsidR="00560898" w:rsidRDefault="00560898" w:rsidP="00560898">
      <w:pPr>
        <w:rPr>
          <w:lang w:val="ro-MO"/>
        </w:rPr>
      </w:pPr>
    </w:p>
    <w:p w:rsidR="00560898" w:rsidRPr="00560898" w:rsidRDefault="00560898" w:rsidP="00560898">
      <w:pPr>
        <w:jc w:val="center"/>
        <w:rPr>
          <w:b/>
          <w:sz w:val="26"/>
          <w:szCs w:val="26"/>
        </w:rPr>
      </w:pPr>
      <w:r w:rsidRPr="00560898">
        <w:rPr>
          <w:b/>
          <w:lang w:val="ro-MO"/>
        </w:rPr>
        <w:t xml:space="preserve">Șef DGE Telenești </w:t>
      </w:r>
      <w:r w:rsidRPr="00560898">
        <w:rPr>
          <w:b/>
          <w:lang w:val="ro-MO"/>
        </w:rPr>
        <w:tab/>
      </w:r>
      <w:r w:rsidRPr="00560898">
        <w:rPr>
          <w:b/>
          <w:lang w:val="ro-MO"/>
        </w:rPr>
        <w:tab/>
      </w:r>
      <w:r w:rsidRPr="00560898">
        <w:rPr>
          <w:b/>
          <w:lang w:val="ro-MO"/>
        </w:rPr>
        <w:tab/>
      </w:r>
      <w:r w:rsidRPr="00560898">
        <w:rPr>
          <w:b/>
          <w:lang w:val="ro-MO"/>
        </w:rPr>
        <w:tab/>
      </w:r>
      <w:r w:rsidRPr="00560898">
        <w:rPr>
          <w:b/>
          <w:lang w:val="ro-MO"/>
        </w:rPr>
        <w:tab/>
      </w:r>
      <w:r w:rsidRPr="00560898">
        <w:rPr>
          <w:b/>
          <w:lang w:val="ro-MO"/>
        </w:rPr>
        <w:tab/>
        <w:t>Eugenia IOXA</w:t>
      </w: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Default="00560898" w:rsidP="005A2F75">
      <w:pPr>
        <w:jc w:val="both"/>
        <w:rPr>
          <w:b/>
          <w:sz w:val="26"/>
          <w:szCs w:val="26"/>
        </w:rPr>
      </w:pPr>
    </w:p>
    <w:p w:rsidR="00560898" w:rsidRPr="00560898" w:rsidRDefault="00560898" w:rsidP="005A2F75">
      <w:pPr>
        <w:jc w:val="both"/>
        <w:rPr>
          <w:b/>
          <w:sz w:val="26"/>
          <w:szCs w:val="26"/>
        </w:rPr>
      </w:pPr>
    </w:p>
    <w:sectPr w:rsidR="00560898" w:rsidRPr="00560898" w:rsidSect="006864FA">
      <w:pgSz w:w="12240" w:h="15840"/>
      <w:pgMar w:top="284" w:right="616" w:bottom="42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04825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665F8"/>
    <w:multiLevelType w:val="hybridMultilevel"/>
    <w:tmpl w:val="AEA45A02"/>
    <w:lvl w:ilvl="0" w:tplc="F74825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AB123B"/>
    <w:multiLevelType w:val="hybridMultilevel"/>
    <w:tmpl w:val="6FD6F318"/>
    <w:lvl w:ilvl="0" w:tplc="7AB0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3264DBE"/>
    <w:multiLevelType w:val="hybridMultilevel"/>
    <w:tmpl w:val="9A4A88F8"/>
    <w:lvl w:ilvl="0" w:tplc="A23E92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2D4979"/>
    <w:rsid w:val="00032A9A"/>
    <w:rsid w:val="00044BF5"/>
    <w:rsid w:val="000604B9"/>
    <w:rsid w:val="000A583F"/>
    <w:rsid w:val="000D167D"/>
    <w:rsid w:val="000F46A1"/>
    <w:rsid w:val="00164B20"/>
    <w:rsid w:val="00193F62"/>
    <w:rsid w:val="001C53D5"/>
    <w:rsid w:val="001C654C"/>
    <w:rsid w:val="001D33E1"/>
    <w:rsid w:val="001E6138"/>
    <w:rsid w:val="001F63A2"/>
    <w:rsid w:val="00210A08"/>
    <w:rsid w:val="00211B48"/>
    <w:rsid w:val="002154A3"/>
    <w:rsid w:val="00247517"/>
    <w:rsid w:val="00274462"/>
    <w:rsid w:val="00277890"/>
    <w:rsid w:val="002976FD"/>
    <w:rsid w:val="002A1342"/>
    <w:rsid w:val="002A2346"/>
    <w:rsid w:val="002C3208"/>
    <w:rsid w:val="002D4979"/>
    <w:rsid w:val="002D5807"/>
    <w:rsid w:val="002E1E28"/>
    <w:rsid w:val="002E4DE7"/>
    <w:rsid w:val="00315AF3"/>
    <w:rsid w:val="00332F72"/>
    <w:rsid w:val="003D41CE"/>
    <w:rsid w:val="003D7170"/>
    <w:rsid w:val="004077F0"/>
    <w:rsid w:val="00432B5A"/>
    <w:rsid w:val="0047351B"/>
    <w:rsid w:val="00476812"/>
    <w:rsid w:val="004A12D3"/>
    <w:rsid w:val="004A35B1"/>
    <w:rsid w:val="004D2B13"/>
    <w:rsid w:val="004F602B"/>
    <w:rsid w:val="005468CB"/>
    <w:rsid w:val="00547D08"/>
    <w:rsid w:val="00560898"/>
    <w:rsid w:val="00560E42"/>
    <w:rsid w:val="00573310"/>
    <w:rsid w:val="00587E47"/>
    <w:rsid w:val="005A2F75"/>
    <w:rsid w:val="00623595"/>
    <w:rsid w:val="0062644C"/>
    <w:rsid w:val="006358C3"/>
    <w:rsid w:val="0066110C"/>
    <w:rsid w:val="00674D44"/>
    <w:rsid w:val="006864FA"/>
    <w:rsid w:val="006948D2"/>
    <w:rsid w:val="006A7C03"/>
    <w:rsid w:val="006D470E"/>
    <w:rsid w:val="0071562D"/>
    <w:rsid w:val="00716CBD"/>
    <w:rsid w:val="00730408"/>
    <w:rsid w:val="007B2741"/>
    <w:rsid w:val="008174CC"/>
    <w:rsid w:val="00847876"/>
    <w:rsid w:val="00870679"/>
    <w:rsid w:val="008B66D0"/>
    <w:rsid w:val="008C0166"/>
    <w:rsid w:val="008C13E5"/>
    <w:rsid w:val="008C24B9"/>
    <w:rsid w:val="00902099"/>
    <w:rsid w:val="00933EBA"/>
    <w:rsid w:val="009610DE"/>
    <w:rsid w:val="00967C11"/>
    <w:rsid w:val="00977CE9"/>
    <w:rsid w:val="0099662F"/>
    <w:rsid w:val="009B1B17"/>
    <w:rsid w:val="009B64E5"/>
    <w:rsid w:val="009C6A80"/>
    <w:rsid w:val="009E0B9C"/>
    <w:rsid w:val="00A86D2A"/>
    <w:rsid w:val="00AA71D6"/>
    <w:rsid w:val="00AD1855"/>
    <w:rsid w:val="00B13325"/>
    <w:rsid w:val="00B91997"/>
    <w:rsid w:val="00BB318B"/>
    <w:rsid w:val="00BE0CEC"/>
    <w:rsid w:val="00BE5183"/>
    <w:rsid w:val="00BF1826"/>
    <w:rsid w:val="00C02FB4"/>
    <w:rsid w:val="00C05B22"/>
    <w:rsid w:val="00C87F12"/>
    <w:rsid w:val="00CA78AE"/>
    <w:rsid w:val="00CD61E7"/>
    <w:rsid w:val="00CF7D8C"/>
    <w:rsid w:val="00D00F20"/>
    <w:rsid w:val="00D17A17"/>
    <w:rsid w:val="00D57AF9"/>
    <w:rsid w:val="00DA02CD"/>
    <w:rsid w:val="00DB12AF"/>
    <w:rsid w:val="00DC68D3"/>
    <w:rsid w:val="00DE39CE"/>
    <w:rsid w:val="00DF0B44"/>
    <w:rsid w:val="00E00D8D"/>
    <w:rsid w:val="00E31C75"/>
    <w:rsid w:val="00E464E4"/>
    <w:rsid w:val="00E64A61"/>
    <w:rsid w:val="00EE58B0"/>
    <w:rsid w:val="00F318E8"/>
    <w:rsid w:val="00F5514B"/>
    <w:rsid w:val="00FA587C"/>
    <w:rsid w:val="00FB2EA9"/>
    <w:rsid w:val="00FC0142"/>
    <w:rsid w:val="00FC2885"/>
    <w:rsid w:val="00FD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Listcumarcatori">
    <w:name w:val="List Bullet"/>
    <w:basedOn w:val="Normal"/>
    <w:uiPriority w:val="99"/>
    <w:unhideWhenUsed/>
    <w:rsid w:val="00674D44"/>
    <w:pPr>
      <w:numPr>
        <w:numId w:val="5"/>
      </w:numPr>
      <w:contextualSpacing/>
    </w:pPr>
    <w:rPr>
      <w:sz w:val="20"/>
      <w:szCs w:val="20"/>
      <w:lang w:eastAsia="ru-RU"/>
    </w:rPr>
  </w:style>
  <w:style w:type="table" w:styleId="GrilTabel">
    <w:name w:val="Table Grid"/>
    <w:basedOn w:val="TabelNormal"/>
    <w:uiPriority w:val="59"/>
    <w:rsid w:val="005A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">
    <w:name w:val="Grilă Tabel1"/>
    <w:basedOn w:val="TabelNormal"/>
    <w:next w:val="GrilTabel"/>
    <w:uiPriority w:val="59"/>
    <w:rsid w:val="00CD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rsid w:val="005608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style-span">
    <w:name w:val="apple-style-span"/>
    <w:basedOn w:val="Fontdeparagrafimplicit"/>
    <w:rsid w:val="00560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esti.md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a@telenest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iliul@telenest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85D94-27D6-4F20-8A76-5FC2382D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Sergiu</cp:lastModifiedBy>
  <cp:revision>9</cp:revision>
  <cp:lastPrinted>2017-04-10T08:04:00Z</cp:lastPrinted>
  <dcterms:created xsi:type="dcterms:W3CDTF">2017-04-03T12:22:00Z</dcterms:created>
  <dcterms:modified xsi:type="dcterms:W3CDTF">2017-04-10T08:04:00Z</dcterms:modified>
</cp:coreProperties>
</file>