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B" w:rsidRPr="00F02DC9" w:rsidRDefault="0032141B" w:rsidP="0032141B">
      <w:pPr>
        <w:tabs>
          <w:tab w:val="left" w:pos="3105"/>
          <w:tab w:val="right" w:pos="9214"/>
        </w:tabs>
        <w:rPr>
          <w:rFonts w:ascii="Calibri" w:eastAsia="Calibri" w:hAnsi="Calibri"/>
          <w:lang w:val="ro-RO" w:eastAsia="en-US"/>
        </w:rPr>
      </w:pPr>
      <w:r w:rsidRPr="00F02DC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211455</wp:posOffset>
            </wp:positionV>
            <wp:extent cx="683260" cy="80962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41B" w:rsidRPr="00F02DC9" w:rsidRDefault="0032141B" w:rsidP="0032141B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36"/>
          <w:lang w:val="ro-RO" w:eastAsia="en-US"/>
        </w:rPr>
      </w:pPr>
      <w:r w:rsidRPr="00F02DC9">
        <w:rPr>
          <w:rFonts w:eastAsia="Calibri"/>
          <w:b/>
          <w:sz w:val="36"/>
          <w:lang w:val="ro-RO" w:eastAsia="en-US"/>
        </w:rPr>
        <w:t xml:space="preserve">                                    </w:t>
      </w:r>
      <w:r>
        <w:rPr>
          <w:rFonts w:eastAsia="Calibri"/>
          <w:b/>
          <w:sz w:val="36"/>
          <w:lang w:val="ro-RO" w:eastAsia="en-US"/>
        </w:rPr>
        <w:t xml:space="preserve">   </w:t>
      </w:r>
      <w:r w:rsidRPr="00F02DC9">
        <w:rPr>
          <w:rFonts w:ascii="Times New Roman" w:eastAsia="Calibri" w:hAnsi="Times New Roman" w:cs="Times New Roman"/>
          <w:b/>
          <w:sz w:val="36"/>
          <w:lang w:val="ro-RO" w:eastAsia="en-US"/>
        </w:rPr>
        <w:t xml:space="preserve">REPUBLICA MOLDOVA        </w:t>
      </w:r>
      <w:r w:rsidRPr="00F02DC9">
        <w:rPr>
          <w:rFonts w:ascii="Times New Roman" w:eastAsia="Calibri" w:hAnsi="Times New Roman" w:cs="Times New Roman"/>
          <w:b/>
          <w:noProof/>
        </w:rPr>
        <w:drawing>
          <wp:inline distT="0" distB="0" distL="0" distR="0">
            <wp:extent cx="933450" cy="704850"/>
            <wp:effectExtent l="0" t="0" r="0" b="0"/>
            <wp:docPr id="2" name="Рисунок 1" descr="Описание: 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1B" w:rsidRPr="00F02DC9" w:rsidRDefault="0032141B" w:rsidP="0032141B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 w:eastAsia="en-US"/>
        </w:rPr>
      </w:pPr>
      <w:r w:rsidRPr="00F02DC9">
        <w:rPr>
          <w:rFonts w:ascii="Times New Roman" w:eastAsia="Calibri" w:hAnsi="Times New Roman" w:cs="Times New Roman"/>
          <w:b/>
          <w:sz w:val="28"/>
          <w:u w:val="single"/>
          <w:lang w:val="ro-RO" w:eastAsia="en-US"/>
        </w:rPr>
        <w:t>CONSILIUL RAIONAL TELENEȘTI</w:t>
      </w:r>
    </w:p>
    <w:p w:rsidR="0032141B" w:rsidRPr="00F02DC9" w:rsidRDefault="0032141B" w:rsidP="0032141B">
      <w:pPr>
        <w:spacing w:after="0"/>
        <w:jc w:val="center"/>
        <w:outlineLvl w:val="1"/>
        <w:rPr>
          <w:rFonts w:ascii="Times New Roman" w:hAnsi="Times New Roman" w:cs="Times New Roman"/>
          <w:sz w:val="20"/>
          <w:szCs w:val="20"/>
          <w:lang w:val="ro-RO"/>
        </w:rPr>
      </w:pPr>
      <w:r w:rsidRPr="00F02DC9">
        <w:rPr>
          <w:rFonts w:ascii="Times New Roman" w:eastAsia="Calibri" w:hAnsi="Times New Roman" w:cs="Times New Roman"/>
          <w:lang w:val="ro-RO" w:eastAsia="en-US"/>
        </w:rPr>
        <w:t xml:space="preserve"> </w:t>
      </w:r>
      <w:r w:rsidRPr="00F02DC9">
        <w:rPr>
          <w:rFonts w:ascii="Times New Roman" w:hAnsi="Times New Roman" w:cs="Times New Roman"/>
          <w:sz w:val="20"/>
          <w:szCs w:val="20"/>
          <w:lang w:val="ro-RO"/>
        </w:rPr>
        <w:t xml:space="preserve">MD-5801, </w:t>
      </w:r>
      <w:proofErr w:type="spellStart"/>
      <w:r w:rsidRPr="00F02DC9">
        <w:rPr>
          <w:rFonts w:ascii="Times New Roman" w:hAnsi="Times New Roman" w:cs="Times New Roman"/>
          <w:sz w:val="20"/>
          <w:szCs w:val="20"/>
          <w:lang w:val="ro-RO"/>
        </w:rPr>
        <w:t>or.Teleneşti</w:t>
      </w:r>
      <w:proofErr w:type="spellEnd"/>
      <w:r w:rsidRPr="00F02DC9">
        <w:rPr>
          <w:rFonts w:ascii="Times New Roman" w:hAnsi="Times New Roman" w:cs="Times New Roman"/>
          <w:sz w:val="20"/>
          <w:szCs w:val="20"/>
          <w:lang w:val="ro-RO"/>
        </w:rPr>
        <w:t>, str.31 August, 9 tel: (258)2-20-58, 2-26-50, fax: 2-24-50</w:t>
      </w:r>
    </w:p>
    <w:p w:rsidR="0032141B" w:rsidRPr="00F02DC9" w:rsidRDefault="00654C60" w:rsidP="0032141B">
      <w:pPr>
        <w:spacing w:after="0"/>
        <w:jc w:val="center"/>
        <w:outlineLvl w:val="1"/>
        <w:rPr>
          <w:rFonts w:ascii="Times New Roman" w:eastAsia="Calibri" w:hAnsi="Times New Roman" w:cs="Times New Roman"/>
          <w:lang w:val="ro-RO" w:eastAsia="en-US"/>
        </w:rPr>
      </w:pPr>
      <w:hyperlink r:id="rId6" w:history="1">
        <w:r w:rsidR="0032141B" w:rsidRPr="00F02DC9">
          <w:rPr>
            <w:rStyle w:val="Hyperlink"/>
            <w:rFonts w:ascii="Times New Roman" w:hAnsi="Times New Roman" w:cs="Times New Roman"/>
            <w:sz w:val="18"/>
            <w:szCs w:val="20"/>
            <w:lang w:val="ro-RO"/>
          </w:rPr>
          <w:t>www.telenesti.md</w:t>
        </w:r>
      </w:hyperlink>
      <w:r w:rsidR="0032141B" w:rsidRPr="00F02DC9">
        <w:rPr>
          <w:rFonts w:ascii="Times New Roman" w:hAnsi="Times New Roman" w:cs="Times New Roman"/>
          <w:color w:val="0000FF"/>
          <w:sz w:val="18"/>
          <w:szCs w:val="20"/>
          <w:u w:val="single"/>
          <w:lang w:val="ro-RO"/>
        </w:rPr>
        <w:t>,</w:t>
      </w:r>
      <w:r w:rsidR="0032141B" w:rsidRPr="00F02DC9">
        <w:rPr>
          <w:rFonts w:ascii="Times New Roman" w:hAnsi="Times New Roman" w:cs="Times New Roman"/>
          <w:color w:val="0000FF"/>
          <w:sz w:val="18"/>
          <w:szCs w:val="20"/>
          <w:lang w:val="ro-RO"/>
        </w:rPr>
        <w:t xml:space="preserve"> </w:t>
      </w:r>
      <w:r w:rsidR="0032141B" w:rsidRPr="00F02DC9">
        <w:rPr>
          <w:rFonts w:ascii="Times New Roman" w:hAnsi="Times New Roman" w:cs="Times New Roman"/>
          <w:sz w:val="18"/>
          <w:szCs w:val="20"/>
          <w:lang w:val="ro-RO"/>
        </w:rPr>
        <w:t xml:space="preserve"> </w:t>
      </w:r>
      <w:hyperlink r:id="rId7" w:history="1">
        <w:r w:rsidR="0032141B" w:rsidRPr="00F02DC9">
          <w:rPr>
            <w:rStyle w:val="Hyperlink"/>
            <w:rFonts w:ascii="Times New Roman" w:hAnsi="Times New Roman" w:cs="Times New Roman"/>
            <w:sz w:val="18"/>
            <w:szCs w:val="20"/>
            <w:lang w:val="ro-RO"/>
          </w:rPr>
          <w:t>consiliul@telenesti.md</w:t>
        </w:r>
      </w:hyperlink>
      <w:r w:rsidR="0032141B" w:rsidRPr="00F02DC9">
        <w:rPr>
          <w:rFonts w:ascii="Times New Roman" w:hAnsi="Times New Roman" w:cs="Times New Roman"/>
          <w:sz w:val="18"/>
          <w:szCs w:val="20"/>
          <w:lang w:val="ro-RO"/>
        </w:rPr>
        <w:t xml:space="preserve">, </w:t>
      </w:r>
      <w:hyperlink r:id="rId8" w:history="1">
        <w:r w:rsidR="0032141B" w:rsidRPr="00F02DC9">
          <w:rPr>
            <w:rStyle w:val="Hyperlink"/>
            <w:rFonts w:ascii="Times New Roman" w:hAnsi="Times New Roman" w:cs="Times New Roman"/>
            <w:sz w:val="18"/>
            <w:szCs w:val="20"/>
            <w:lang w:val="ro-RO"/>
          </w:rPr>
          <w:t>posta@telenesti.md</w:t>
        </w:r>
      </w:hyperlink>
      <w:r w:rsidR="0032141B" w:rsidRPr="00F02DC9">
        <w:rPr>
          <w:rFonts w:ascii="Times New Roman" w:eastAsia="Calibri" w:hAnsi="Times New Roman" w:cs="Times New Roman"/>
          <w:lang w:val="ro-RO" w:eastAsia="en-US"/>
        </w:rPr>
        <w:tab/>
      </w:r>
    </w:p>
    <w:p w:rsidR="0032141B" w:rsidRPr="00F02DC9" w:rsidRDefault="00654C60" w:rsidP="0032141B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654C60">
        <w:rPr>
          <w:rFonts w:ascii="Times New Roman" w:hAnsi="Times New Roman" w:cs="Times New Roman"/>
          <w:lang w:val="ro-RO"/>
        </w:rPr>
        <w:pict>
          <v:rect id="_x0000_i1025" style="width:444.35pt;height:1.5pt" o:hrpct="950" o:hralign="center" o:hrstd="t" o:hr="t" fillcolor="#a0a0a0" stroked="f"/>
        </w:pict>
      </w:r>
    </w:p>
    <w:p w:rsidR="0032141B" w:rsidRPr="00F02DC9" w:rsidRDefault="0032141B" w:rsidP="003214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02DC9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DECIZIE nr. </w:t>
      </w:r>
      <w:r w:rsidR="004A2A4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F02DC9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AB1FE2">
        <w:rPr>
          <w:rFonts w:ascii="Times New Roman" w:hAnsi="Times New Roman" w:cs="Times New Roman"/>
          <w:b/>
          <w:sz w:val="28"/>
          <w:szCs w:val="28"/>
          <w:lang w:val="ro-RO"/>
        </w:rPr>
        <w:t>17</w:t>
      </w:r>
    </w:p>
    <w:p w:rsidR="0032141B" w:rsidRDefault="0032141B" w:rsidP="0032141B">
      <w:pPr>
        <w:spacing w:after="0"/>
        <w:rPr>
          <w:rFonts w:ascii="Times New Roman" w:hAnsi="Times New Roman" w:cs="Times New Roman"/>
          <w:lang w:val="ro-RO"/>
        </w:rPr>
      </w:pPr>
      <w:r w:rsidRPr="00F02DC9">
        <w:rPr>
          <w:rFonts w:ascii="Times New Roman" w:hAnsi="Times New Roman" w:cs="Times New Roman"/>
          <w:lang w:val="ro-RO"/>
        </w:rPr>
        <w:t xml:space="preserve"> din </w:t>
      </w:r>
      <w:r w:rsidR="00A772A4">
        <w:rPr>
          <w:rFonts w:ascii="Times New Roman" w:hAnsi="Times New Roman" w:cs="Times New Roman"/>
          <w:lang w:val="ro-RO"/>
        </w:rPr>
        <w:t>07 aprilie</w:t>
      </w:r>
      <w:r w:rsidR="003917F2">
        <w:rPr>
          <w:rFonts w:ascii="Times New Roman" w:hAnsi="Times New Roman" w:cs="Times New Roman"/>
          <w:lang w:val="ro-RO"/>
        </w:rPr>
        <w:t xml:space="preserve"> </w:t>
      </w:r>
      <w:r w:rsidRPr="00F02DC9">
        <w:rPr>
          <w:rFonts w:ascii="Times New Roman" w:hAnsi="Times New Roman" w:cs="Times New Roman"/>
          <w:lang w:val="ro-RO"/>
        </w:rPr>
        <w:t xml:space="preserve"> 201</w:t>
      </w:r>
      <w:r w:rsidR="004A2A43">
        <w:rPr>
          <w:rFonts w:ascii="Times New Roman" w:hAnsi="Times New Roman" w:cs="Times New Roman"/>
          <w:lang w:val="ro-RO"/>
        </w:rPr>
        <w:t>7</w:t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</w:r>
      <w:r w:rsidR="004A2A43">
        <w:rPr>
          <w:rFonts w:ascii="Times New Roman" w:hAnsi="Times New Roman" w:cs="Times New Roman"/>
          <w:lang w:val="ro-RO"/>
        </w:rPr>
        <w:tab/>
        <w:t xml:space="preserve"> </w:t>
      </w:r>
    </w:p>
    <w:p w:rsidR="003917F2" w:rsidRPr="003917F2" w:rsidRDefault="003917F2" w:rsidP="0032141B">
      <w:pPr>
        <w:spacing w:after="0"/>
        <w:rPr>
          <w:rFonts w:ascii="Times New Roman" w:hAnsi="Times New Roman" w:cs="Times New Roman"/>
          <w:lang w:val="ro-RO"/>
        </w:rPr>
      </w:pPr>
    </w:p>
    <w:p w:rsidR="00605CBC" w:rsidRPr="00605CBC" w:rsidRDefault="00605CBC" w:rsidP="00391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2F29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05CBC">
        <w:rPr>
          <w:rFonts w:ascii="Times New Roman" w:hAnsi="Times New Roman" w:cs="Times New Roman"/>
          <w:b/>
          <w:sz w:val="28"/>
          <w:szCs w:val="28"/>
          <w:lang w:val="ro-RO"/>
        </w:rPr>
        <w:t>„Cu pr</w:t>
      </w:r>
      <w:r w:rsidR="002F299C">
        <w:rPr>
          <w:rFonts w:ascii="Times New Roman" w:hAnsi="Times New Roman" w:cs="Times New Roman"/>
          <w:b/>
          <w:sz w:val="28"/>
          <w:szCs w:val="28"/>
          <w:lang w:val="ro-RO"/>
        </w:rPr>
        <w:t>ivire la stabilirea unor suplimente salariale</w:t>
      </w:r>
      <w:r w:rsidRPr="00605C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605CBC" w:rsidRPr="00605CBC" w:rsidRDefault="00605CBC" w:rsidP="00391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05CBC">
        <w:rPr>
          <w:rFonts w:ascii="Times New Roman" w:hAnsi="Times New Roman" w:cs="Times New Roman"/>
          <w:b/>
          <w:sz w:val="28"/>
          <w:szCs w:val="28"/>
          <w:lang w:val="ro-RO"/>
        </w:rPr>
        <w:t>personalul</w:t>
      </w:r>
      <w:r w:rsidR="007A3AE9">
        <w:rPr>
          <w:rFonts w:ascii="Times New Roman" w:hAnsi="Times New Roman" w:cs="Times New Roman"/>
          <w:b/>
          <w:sz w:val="28"/>
          <w:szCs w:val="28"/>
          <w:lang w:val="ro-RO"/>
        </w:rPr>
        <w:t>ui</w:t>
      </w:r>
      <w:r w:rsidRPr="00605C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conducere din Instituțiile Medico – Sanitare Publice</w:t>
      </w:r>
    </w:p>
    <w:p w:rsidR="0032141B" w:rsidRPr="00F02DC9" w:rsidRDefault="00605CBC" w:rsidP="00391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05C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2F29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605CB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căror fondator  este Con</w:t>
      </w:r>
      <w:r w:rsidR="002F299C">
        <w:rPr>
          <w:rFonts w:ascii="Times New Roman" w:hAnsi="Times New Roman" w:cs="Times New Roman"/>
          <w:b/>
          <w:sz w:val="28"/>
          <w:szCs w:val="28"/>
          <w:lang w:val="ro-RO"/>
        </w:rPr>
        <w:t>siliul raional,</w:t>
      </w:r>
      <w:r w:rsidR="00C05BF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F29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perioada </w:t>
      </w:r>
      <w:r w:rsidR="00C05BF5">
        <w:rPr>
          <w:rFonts w:ascii="Times New Roman" w:hAnsi="Times New Roman" w:cs="Times New Roman"/>
          <w:b/>
          <w:sz w:val="28"/>
          <w:szCs w:val="28"/>
          <w:lang w:val="ro-RO"/>
        </w:rPr>
        <w:t>2017</w:t>
      </w:r>
      <w:r w:rsidRPr="00605CBC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32141B" w:rsidRPr="00F02DC9" w:rsidRDefault="0032141B" w:rsidP="00391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141B" w:rsidRDefault="0032141B" w:rsidP="00391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02DC9">
        <w:rPr>
          <w:rFonts w:ascii="Times New Roman" w:hAnsi="Times New Roman" w:cs="Times New Roman"/>
          <w:sz w:val="28"/>
          <w:szCs w:val="28"/>
          <w:lang w:val="ro-RO"/>
        </w:rPr>
        <w:t xml:space="preserve">În scopul motivării </w:t>
      </w:r>
      <w:r w:rsidR="002F299C">
        <w:rPr>
          <w:rFonts w:ascii="Times New Roman" w:hAnsi="Times New Roman" w:cs="Times New Roman"/>
          <w:sz w:val="28"/>
          <w:szCs w:val="28"/>
          <w:lang w:val="ro-RO"/>
        </w:rPr>
        <w:t xml:space="preserve">financiare a </w:t>
      </w:r>
      <w:r w:rsidR="00414236">
        <w:rPr>
          <w:rFonts w:ascii="Times New Roman" w:hAnsi="Times New Roman" w:cs="Times New Roman"/>
          <w:sz w:val="28"/>
          <w:szCs w:val="28"/>
          <w:lang w:val="ro-RO"/>
        </w:rPr>
        <w:t>personalului</w:t>
      </w:r>
      <w:r w:rsidRPr="00F02DC9">
        <w:rPr>
          <w:rFonts w:ascii="Times New Roman" w:hAnsi="Times New Roman" w:cs="Times New Roman"/>
          <w:sz w:val="28"/>
          <w:szCs w:val="28"/>
          <w:lang w:val="ro-RO"/>
        </w:rPr>
        <w:t xml:space="preserve"> de conducere din </w:t>
      </w:r>
      <w:r w:rsidR="00212F1C">
        <w:rPr>
          <w:rFonts w:ascii="Times New Roman" w:hAnsi="Times New Roman" w:cs="Times New Roman"/>
          <w:sz w:val="28"/>
          <w:szCs w:val="28"/>
          <w:lang w:val="ro-RO"/>
        </w:rPr>
        <w:t>Instituțiile Medico – Sanitare Publice (în continuare IMSP)</w:t>
      </w:r>
      <w:r w:rsidR="006070AC">
        <w:rPr>
          <w:rFonts w:ascii="Times New Roman" w:hAnsi="Times New Roman" w:cs="Times New Roman"/>
          <w:sz w:val="28"/>
          <w:szCs w:val="28"/>
          <w:lang w:val="ro-RO"/>
        </w:rPr>
        <w:t xml:space="preserve"> a căror fondator este Consiliul raional</w:t>
      </w:r>
      <w:r w:rsidR="00E2069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75CC7">
        <w:rPr>
          <w:rFonts w:ascii="Times New Roman" w:hAnsi="Times New Roman" w:cs="Times New Roman"/>
          <w:sz w:val="28"/>
          <w:szCs w:val="28"/>
          <w:lang w:val="ro-RO"/>
        </w:rPr>
        <w:t xml:space="preserve">examinând procesele verbale ale şedinţei comisiei de evaluare şi validare a indicatorilor de performanţă a activităţii IMSP din 01.03.2017, </w:t>
      </w:r>
      <w:r w:rsidR="005A0D5F">
        <w:rPr>
          <w:rFonts w:ascii="Times New Roman" w:hAnsi="Times New Roman" w:cs="Times New Roman"/>
          <w:sz w:val="28"/>
          <w:szCs w:val="28"/>
          <w:lang w:val="ro-RO"/>
        </w:rPr>
        <w:t xml:space="preserve">şi demersurile IMSP nr. 66 şi 160 din 14.03.2017, </w:t>
      </w:r>
      <w:r w:rsidR="00605CBC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3917F2">
        <w:rPr>
          <w:rFonts w:ascii="Times New Roman" w:hAnsi="Times New Roman" w:cs="Times New Roman"/>
          <w:sz w:val="28"/>
          <w:szCs w:val="28"/>
          <w:lang w:val="ro-RO"/>
        </w:rPr>
        <w:t>inâ</w:t>
      </w:r>
      <w:r w:rsidR="00605CBC">
        <w:rPr>
          <w:rFonts w:ascii="Times New Roman" w:hAnsi="Times New Roman" w:cs="Times New Roman"/>
          <w:sz w:val="28"/>
          <w:szCs w:val="28"/>
          <w:lang w:val="ro-RO"/>
        </w:rPr>
        <w:t xml:space="preserve">nd cont de prevederile </w:t>
      </w:r>
      <w:r w:rsidR="004B2A90">
        <w:rPr>
          <w:rFonts w:ascii="Times New Roman" w:hAnsi="Times New Roman" w:cs="Times New Roman"/>
          <w:sz w:val="28"/>
          <w:szCs w:val="28"/>
          <w:lang w:val="ro-RO"/>
        </w:rPr>
        <w:t xml:space="preserve"> art. art. 25, 26</w:t>
      </w:r>
      <w:r w:rsidR="00EC731D">
        <w:rPr>
          <w:rFonts w:ascii="Times New Roman" w:hAnsi="Times New Roman" w:cs="Times New Roman"/>
          <w:sz w:val="28"/>
          <w:szCs w:val="28"/>
          <w:lang w:val="ro-RO"/>
        </w:rPr>
        <w:t>, 28 și 30</w:t>
      </w:r>
      <w:r w:rsidR="004B2A90">
        <w:rPr>
          <w:rFonts w:ascii="Times New Roman" w:hAnsi="Times New Roman" w:cs="Times New Roman"/>
          <w:sz w:val="28"/>
          <w:szCs w:val="28"/>
          <w:lang w:val="ro-RO"/>
        </w:rPr>
        <w:t xml:space="preserve"> al </w:t>
      </w:r>
      <w:r w:rsidRPr="00F02DC9">
        <w:rPr>
          <w:rFonts w:ascii="Times New Roman" w:hAnsi="Times New Roman" w:cs="Times New Roman"/>
          <w:sz w:val="28"/>
          <w:szCs w:val="28"/>
          <w:lang w:val="ro-RO"/>
        </w:rPr>
        <w:t>Regulamentului privind salarizarea angajaţilor din instituţiile medico-sanitare publice încadrate în sistemul asigurărilor obligatorii de asistenţă medicală</w:t>
      </w:r>
      <w:r w:rsidR="004B2A90">
        <w:rPr>
          <w:rFonts w:ascii="Times New Roman" w:hAnsi="Times New Roman" w:cs="Times New Roman"/>
          <w:sz w:val="28"/>
          <w:szCs w:val="28"/>
          <w:lang w:val="ro-RO"/>
        </w:rPr>
        <w:t xml:space="preserve"> aprobat prin Hotărârea Gu</w:t>
      </w:r>
      <w:r w:rsidR="000F1E79">
        <w:rPr>
          <w:rFonts w:ascii="Times New Roman" w:hAnsi="Times New Roman" w:cs="Times New Roman"/>
          <w:sz w:val="28"/>
          <w:szCs w:val="28"/>
          <w:lang w:val="ro-RO"/>
        </w:rPr>
        <w:t>vernului nr. 837 din 06.07.2016</w:t>
      </w:r>
      <w:r w:rsidR="003917F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B2A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2A43">
        <w:rPr>
          <w:rFonts w:ascii="Times New Roman" w:hAnsi="Times New Roman" w:cs="Times New Roman"/>
          <w:sz w:val="28"/>
          <w:szCs w:val="28"/>
          <w:lang w:val="ro-RO"/>
        </w:rPr>
        <w:t xml:space="preserve">pct. 18 şi 19 din Regulamentul privind modul de evaluare a indicatorilor de performanţă ai activităţii instituţiei medico-sanitare publice aprobat prin Ordinul Ministerului Sănătăţii nr. 1038din 23.12.2016, </w:t>
      </w:r>
      <w:r w:rsidR="004B2A90">
        <w:rPr>
          <w:rFonts w:ascii="Times New Roman" w:hAnsi="Times New Roman" w:cs="Times New Roman"/>
          <w:sz w:val="28"/>
          <w:szCs w:val="28"/>
          <w:lang w:val="ro-RO"/>
        </w:rPr>
        <w:t>avâ</w:t>
      </w:r>
      <w:r w:rsidRPr="00F02DC9">
        <w:rPr>
          <w:rFonts w:ascii="Times New Roman" w:hAnsi="Times New Roman" w:cs="Times New Roman"/>
          <w:sz w:val="28"/>
          <w:szCs w:val="28"/>
          <w:lang w:val="ro-RO"/>
        </w:rPr>
        <w:t>nd avizul pozitiv al Comisiei consultativ</w:t>
      </w:r>
      <w:r w:rsidR="00A43709">
        <w:rPr>
          <w:rFonts w:ascii="Times New Roman" w:hAnsi="Times New Roman" w:cs="Times New Roman"/>
          <w:sz w:val="28"/>
          <w:szCs w:val="28"/>
          <w:lang w:val="ro-RO"/>
        </w:rPr>
        <w:t xml:space="preserve">e pentru </w:t>
      </w:r>
      <w:r w:rsidR="00EC731D">
        <w:rPr>
          <w:rFonts w:ascii="Times New Roman" w:hAnsi="Times New Roman" w:cs="Times New Roman"/>
          <w:sz w:val="28"/>
          <w:szCs w:val="28"/>
          <w:lang w:val="ro-RO"/>
        </w:rPr>
        <w:t>probleme sociale</w:t>
      </w:r>
      <w:r w:rsidR="005B5B6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B5B66" w:rsidRPr="005B5B6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02DC9">
        <w:rPr>
          <w:rFonts w:ascii="Times New Roman" w:hAnsi="Times New Roman" w:cs="Times New Roman"/>
          <w:sz w:val="28"/>
          <w:szCs w:val="28"/>
          <w:lang w:val="ro-RO"/>
        </w:rPr>
        <w:t>în temeiul art.</w:t>
      </w:r>
      <w:r w:rsidR="00A43709">
        <w:rPr>
          <w:rFonts w:ascii="Times New Roman" w:hAnsi="Times New Roman" w:cs="Times New Roman"/>
          <w:sz w:val="28"/>
          <w:szCs w:val="28"/>
          <w:lang w:val="ro-RO"/>
        </w:rPr>
        <w:t xml:space="preserve"> art.</w:t>
      </w:r>
      <w:r w:rsidRPr="00F02DC9">
        <w:rPr>
          <w:rFonts w:ascii="Times New Roman" w:hAnsi="Times New Roman" w:cs="Times New Roman"/>
          <w:sz w:val="28"/>
          <w:szCs w:val="28"/>
          <w:lang w:val="ro-RO"/>
        </w:rPr>
        <w:t xml:space="preserve"> 43 </w:t>
      </w:r>
      <w:r w:rsidR="00A43709">
        <w:rPr>
          <w:rFonts w:ascii="Times New Roman" w:hAnsi="Times New Roman" w:cs="Times New Roman"/>
          <w:sz w:val="28"/>
          <w:szCs w:val="28"/>
          <w:lang w:val="ro-RO"/>
        </w:rPr>
        <w:t xml:space="preserve">al. </w:t>
      </w:r>
      <w:r w:rsidRPr="00F02DC9">
        <w:rPr>
          <w:rFonts w:ascii="Times New Roman" w:hAnsi="Times New Roman" w:cs="Times New Roman"/>
          <w:sz w:val="28"/>
          <w:szCs w:val="28"/>
          <w:lang w:val="ro-RO"/>
        </w:rPr>
        <w:t>(2),</w:t>
      </w:r>
      <w:r w:rsidR="00A43709">
        <w:rPr>
          <w:rFonts w:ascii="Times New Roman" w:hAnsi="Times New Roman" w:cs="Times New Roman"/>
          <w:sz w:val="28"/>
          <w:szCs w:val="28"/>
          <w:lang w:val="ro-RO"/>
        </w:rPr>
        <w:t xml:space="preserve"> 46</w:t>
      </w:r>
      <w:r w:rsidRPr="00F02DC9">
        <w:rPr>
          <w:rFonts w:ascii="Times New Roman" w:hAnsi="Times New Roman" w:cs="Times New Roman"/>
          <w:sz w:val="28"/>
          <w:szCs w:val="28"/>
          <w:lang w:val="ro-RO"/>
        </w:rPr>
        <w:t xml:space="preserve"> al Legii privind administrația publică locală nr. 436-XVI din 28.12.2006 Consiliul raional, </w:t>
      </w:r>
    </w:p>
    <w:p w:rsidR="005B5B66" w:rsidRPr="00F02DC9" w:rsidRDefault="005B5B66" w:rsidP="00391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2141B" w:rsidRDefault="0032141B" w:rsidP="00391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02DC9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4B044E" w:rsidRPr="004B044E" w:rsidRDefault="004B044E" w:rsidP="003917F2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17F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1.Se aprobă </w:t>
      </w:r>
      <w:r w:rsidR="00DE583A">
        <w:rPr>
          <w:rFonts w:ascii="Times New Roman" w:eastAsia="Times New Roman" w:hAnsi="Times New Roman" w:cs="Times New Roman"/>
          <w:sz w:val="28"/>
          <w:szCs w:val="24"/>
          <w:lang w:val="ro-RO"/>
        </w:rPr>
        <w:t>suplimente</w:t>
      </w: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la salariu pentru performanțe profesionale individuale în muncă</w:t>
      </w:r>
      <w:r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,</w:t>
      </w:r>
      <w:r w:rsidR="00DE583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6823A0">
        <w:rPr>
          <w:rFonts w:ascii="Times New Roman" w:eastAsia="Times New Roman" w:hAnsi="Times New Roman" w:cs="Times New Roman"/>
          <w:sz w:val="28"/>
          <w:szCs w:val="24"/>
          <w:lang w:val="ro-RO"/>
        </w:rPr>
        <w:t>ținând</w:t>
      </w:r>
      <w:r w:rsidR="00DE583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cont de rezultatele </w:t>
      </w:r>
      <w:r w:rsidR="00132CFE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evaluărilor efectuate de către comisia abilitată a Ministerului Sănătăţii privind activitatea IMSP și </w:t>
      </w:r>
      <w:r w:rsidR="00DE583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calitățile profesionale/ manageriale ale personalului de conducere</w:t>
      </w:r>
      <w:r w:rsidR="00DE583A" w:rsidRPr="00DE583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DE583A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212F1C">
        <w:rPr>
          <w:rFonts w:ascii="Times New Roman" w:eastAsia="Times New Roman" w:hAnsi="Times New Roman" w:cs="Times New Roman"/>
          <w:sz w:val="28"/>
          <w:szCs w:val="24"/>
          <w:lang w:val="ro-RO"/>
        </w:rPr>
        <w:t>înregistrate</w:t>
      </w:r>
      <w:r w:rsidR="00A75CC7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în anul 2016</w:t>
      </w:r>
      <w:r w:rsidR="00DE583A">
        <w:rPr>
          <w:rFonts w:ascii="Times New Roman" w:eastAsia="Times New Roman" w:hAnsi="Times New Roman" w:cs="Times New Roman"/>
          <w:sz w:val="28"/>
          <w:szCs w:val="24"/>
          <w:lang w:val="ro-RO"/>
        </w:rPr>
        <w:t>,</w:t>
      </w:r>
      <w:r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după cum urmează: </w:t>
      </w:r>
    </w:p>
    <w:p w:rsidR="004B044E" w:rsidRPr="004B044E" w:rsidRDefault="004B044E" w:rsidP="003917F2">
      <w:pPr>
        <w:tabs>
          <w:tab w:val="left" w:pos="426"/>
          <w:tab w:val="left" w:pos="567"/>
          <w:tab w:val="left" w:pos="851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1.1. pentru Spitalul raional Telene</w:t>
      </w:r>
      <w:r w:rsidRPr="004B044E">
        <w:rPr>
          <w:rFonts w:ascii="Cambria Math" w:eastAsia="Times New Roman" w:hAnsi="Cambria Math" w:cs="Cambria Math"/>
          <w:sz w:val="28"/>
          <w:szCs w:val="24"/>
          <w:lang w:val="ro-RO"/>
        </w:rPr>
        <w:t>ș</w:t>
      </w:r>
      <w:r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ti, conform anexei nr.1;</w:t>
      </w:r>
    </w:p>
    <w:p w:rsidR="004B044E" w:rsidRPr="004B044E" w:rsidRDefault="004B044E" w:rsidP="003917F2">
      <w:pPr>
        <w:tabs>
          <w:tab w:val="left" w:pos="426"/>
          <w:tab w:val="left" w:pos="567"/>
          <w:tab w:val="left" w:pos="851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1.2. pentru Centrul de Sănătate Telenești, conform anexei nr. 2;</w:t>
      </w:r>
    </w:p>
    <w:p w:rsidR="00A4101D" w:rsidRDefault="003917F2" w:rsidP="003917F2">
      <w:pPr>
        <w:tabs>
          <w:tab w:val="left" w:pos="426"/>
          <w:tab w:val="left" w:pos="567"/>
          <w:tab w:val="left" w:pos="851"/>
        </w:tabs>
        <w:spacing w:after="0" w:line="240" w:lineRule="auto"/>
        <w:ind w:left="937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>1.</w:t>
      </w:r>
      <w:r w:rsidR="004B044E"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3. pentru Centrele de Sănătate: </w:t>
      </w:r>
      <w:proofErr w:type="spellStart"/>
      <w:r w:rsidR="004B044E"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Brînzenii</w:t>
      </w:r>
      <w:proofErr w:type="spellEnd"/>
      <w:r w:rsidR="004B044E"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– Noi, Căzănești, Chiștelnița, </w:t>
      </w:r>
      <w:proofErr w:type="spellStart"/>
      <w:r w:rsidR="004B044E"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Mîndrești</w:t>
      </w:r>
      <w:proofErr w:type="spellEnd"/>
      <w:r w:rsidR="004B044E"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și </w:t>
      </w:r>
      <w:proofErr w:type="spellStart"/>
      <w:r w:rsidR="004B044E" w:rsidRP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Sără</w:t>
      </w:r>
      <w:r w:rsid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tenii-Vechi</w:t>
      </w:r>
      <w:proofErr w:type="spellEnd"/>
      <w:r w:rsidR="004B044E">
        <w:rPr>
          <w:rFonts w:ascii="Times New Roman" w:eastAsia="Times New Roman" w:hAnsi="Times New Roman" w:cs="Times New Roman"/>
          <w:sz w:val="28"/>
          <w:szCs w:val="24"/>
          <w:lang w:val="ro-RO"/>
        </w:rPr>
        <w:t>, conform anexei nr.3</w:t>
      </w:r>
      <w:r w:rsidR="00DE583A">
        <w:rPr>
          <w:rFonts w:ascii="Times New Roman" w:eastAsia="Times New Roman" w:hAnsi="Times New Roman" w:cs="Times New Roman"/>
          <w:sz w:val="28"/>
          <w:szCs w:val="24"/>
          <w:lang w:val="ro-RO"/>
        </w:rPr>
        <w:t>.</w:t>
      </w:r>
    </w:p>
    <w:p w:rsidR="004B044E" w:rsidRPr="003917F2" w:rsidRDefault="00DE583A" w:rsidP="003917F2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ab/>
      </w:r>
      <w:r w:rsidR="003917F2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val="ro-RO"/>
        </w:rPr>
        <w:t>2</w:t>
      </w:r>
      <w:r w:rsidR="00212F1C">
        <w:rPr>
          <w:rFonts w:ascii="Times New Roman" w:eastAsia="Times New Roman" w:hAnsi="Times New Roman" w:cs="Times New Roman"/>
          <w:sz w:val="28"/>
          <w:szCs w:val="24"/>
          <w:lang w:val="ro-RO"/>
        </w:rPr>
        <w:t>. Suplimen</w:t>
      </w:r>
      <w:r w:rsidR="00A75CC7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tele </w:t>
      </w:r>
      <w:r w:rsidR="006823A0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 </w:t>
      </w:r>
      <w:r w:rsidR="00212F1C">
        <w:rPr>
          <w:rFonts w:ascii="Times New Roman" w:eastAsia="Times New Roman" w:hAnsi="Times New Roman" w:cs="Times New Roman"/>
          <w:sz w:val="28"/>
          <w:szCs w:val="24"/>
          <w:lang w:val="ro-RO"/>
        </w:rPr>
        <w:t>aprobate prin anexele 1-3 a prezentei decizii, vor fi ca</w:t>
      </w:r>
      <w:r w:rsidR="00A75CC7">
        <w:rPr>
          <w:rFonts w:ascii="Times New Roman" w:eastAsia="Times New Roman" w:hAnsi="Times New Roman" w:cs="Times New Roman"/>
          <w:sz w:val="28"/>
          <w:szCs w:val="24"/>
          <w:lang w:val="ro-RO"/>
        </w:rPr>
        <w:t>lculate la salariu pentru anul curent</w:t>
      </w:r>
      <w:r w:rsidR="00212F1C">
        <w:rPr>
          <w:rFonts w:ascii="Times New Roman" w:eastAsia="Times New Roman" w:hAnsi="Times New Roman" w:cs="Times New Roman"/>
          <w:sz w:val="28"/>
          <w:szCs w:val="24"/>
          <w:lang w:val="ro-RO"/>
        </w:rPr>
        <w:t xml:space="preserve">. </w:t>
      </w:r>
    </w:p>
    <w:p w:rsidR="005B5B66" w:rsidRDefault="003917F2" w:rsidP="00391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3E570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3E5701" w:rsidRPr="00E75FE3">
        <w:rPr>
          <w:rFonts w:ascii="Times New Roman" w:hAnsi="Times New Roman" w:cs="Times New Roman"/>
          <w:sz w:val="28"/>
          <w:szCs w:val="28"/>
          <w:lang w:val="ro-RO"/>
        </w:rPr>
        <w:t>Sursele financ</w:t>
      </w:r>
      <w:r w:rsidR="003E5701">
        <w:rPr>
          <w:rFonts w:ascii="Times New Roman" w:hAnsi="Times New Roman" w:cs="Times New Roman"/>
          <w:sz w:val="28"/>
          <w:szCs w:val="28"/>
          <w:lang w:val="ro-RO"/>
        </w:rPr>
        <w:t>iare pentru achitarea suplimentelor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salariale prevăzute la punctul 1</w:t>
      </w:r>
      <w:r w:rsidR="003E5701" w:rsidRPr="00E75FE3">
        <w:rPr>
          <w:rFonts w:ascii="Times New Roman" w:hAnsi="Times New Roman" w:cs="Times New Roman"/>
          <w:sz w:val="28"/>
          <w:szCs w:val="28"/>
          <w:lang w:val="ro-RO"/>
        </w:rPr>
        <w:t>, se vor achita din contul și în limita fondului de salarizare  a instituțiilor medicale vizate.</w:t>
      </w:r>
      <w:r w:rsidR="003E57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B5B66" w:rsidRPr="00F02DC9" w:rsidRDefault="00A75CC7" w:rsidP="00391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32141B" w:rsidRPr="00F02DC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32141B">
        <w:rPr>
          <w:rFonts w:ascii="Times New Roman" w:hAnsi="Times New Roman" w:cs="Times New Roman"/>
          <w:sz w:val="28"/>
          <w:szCs w:val="28"/>
          <w:lang w:val="ro-RO"/>
        </w:rPr>
        <w:t>Executarea prevederilor deciziei date se pune în seama Contabililor-șefi din cadrul instituțiilor vizate, conform atribuțiilor de funcție</w:t>
      </w:r>
      <w:r w:rsidR="0032141B" w:rsidRPr="00F02DC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32141B" w:rsidRPr="00F02DC9" w:rsidRDefault="00A75CC7" w:rsidP="00391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32141B" w:rsidRPr="00F02DC9">
        <w:rPr>
          <w:rFonts w:ascii="Times New Roman" w:hAnsi="Times New Roman" w:cs="Times New Roman"/>
          <w:sz w:val="28"/>
          <w:szCs w:val="28"/>
          <w:lang w:val="ro-RO"/>
        </w:rPr>
        <w:t xml:space="preserve">. Controlul asupra executării prezentei decizii se pune </w:t>
      </w:r>
      <w:r w:rsidR="0032141B">
        <w:rPr>
          <w:rFonts w:ascii="Times New Roman" w:hAnsi="Times New Roman" w:cs="Times New Roman"/>
          <w:sz w:val="28"/>
          <w:szCs w:val="28"/>
          <w:lang w:val="ro-RO"/>
        </w:rPr>
        <w:t xml:space="preserve">în seama Preşedintelui Comisiei consultative </w:t>
      </w:r>
      <w:r w:rsidR="00E20696">
        <w:rPr>
          <w:rFonts w:ascii="Times New Roman" w:hAnsi="Times New Roman" w:cs="Times New Roman"/>
          <w:sz w:val="28"/>
          <w:szCs w:val="28"/>
          <w:lang w:val="ro-RO"/>
        </w:rPr>
        <w:t>pentru probleme sociale</w:t>
      </w:r>
      <w:r w:rsidR="0032141B">
        <w:rPr>
          <w:rFonts w:ascii="Times New Roman" w:hAnsi="Times New Roman" w:cs="Times New Roman"/>
          <w:sz w:val="28"/>
          <w:szCs w:val="28"/>
          <w:lang w:val="ro-RO"/>
        </w:rPr>
        <w:t xml:space="preserve"> a Consiliului raional</w:t>
      </w:r>
      <w:r w:rsidR="0032141B" w:rsidRPr="00F02DC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B4D06" w:rsidRDefault="00AB4D06" w:rsidP="00391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</w:pPr>
    </w:p>
    <w:p w:rsidR="00AB4D06" w:rsidRDefault="00AB4D06" w:rsidP="00391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</w:pPr>
    </w:p>
    <w:p w:rsidR="00AB4D06" w:rsidRDefault="00AB4D06" w:rsidP="00391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</w:pPr>
    </w:p>
    <w:p w:rsidR="00AB4D06" w:rsidRDefault="00AB4D06" w:rsidP="00391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</w:pPr>
    </w:p>
    <w:p w:rsidR="00562C9E" w:rsidRPr="00562C9E" w:rsidRDefault="00A75CC7" w:rsidP="00391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  <w:t>6</w:t>
      </w:r>
      <w:r w:rsidR="00562C9E"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  <w:t xml:space="preserve">. </w:t>
      </w:r>
      <w:r w:rsidR="00562C9E" w:rsidRPr="00562C9E"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  <w:t xml:space="preserve">Prezenta decizie urmează a fi adusă la cunoştinţa persoanelor vizate şi intră în vigoare la data publicării pe site-ul oficial al Consiliului raional </w:t>
      </w:r>
      <w:hyperlink r:id="rId9" w:history="1">
        <w:r w:rsidR="00562C9E" w:rsidRPr="00562C9E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ro-RO" w:eastAsia="ro-RO"/>
          </w:rPr>
          <w:t>www.telenesti.md</w:t>
        </w:r>
      </w:hyperlink>
      <w:r w:rsidR="00562C9E" w:rsidRPr="00562C9E">
        <w:rPr>
          <w:rFonts w:ascii="Times New Roman" w:eastAsia="Times New Roman" w:hAnsi="Times New Roman" w:cs="Times New Roman"/>
          <w:sz w:val="28"/>
          <w:szCs w:val="26"/>
          <w:u w:val="single"/>
          <w:lang w:val="ro-RO" w:eastAsia="ro-RO"/>
        </w:rPr>
        <w:t xml:space="preserve">  </w:t>
      </w:r>
      <w:r w:rsidR="00562C9E" w:rsidRPr="00562C9E">
        <w:rPr>
          <w:rFonts w:ascii="Times New Roman" w:eastAsia="Times New Roman" w:hAnsi="Times New Roman" w:cs="Times New Roman"/>
          <w:sz w:val="28"/>
          <w:szCs w:val="26"/>
          <w:lang w:val="ro-RO" w:eastAsia="ro-RO"/>
        </w:rPr>
        <w:t>şi/sau  site-ul</w:t>
      </w:r>
      <w:r w:rsidR="00562C9E" w:rsidRPr="00562C9E">
        <w:rPr>
          <w:rFonts w:ascii="Times New Roman" w:eastAsia="Times New Roman" w:hAnsi="Times New Roman" w:cs="Times New Roman"/>
          <w:sz w:val="28"/>
          <w:szCs w:val="26"/>
          <w:u w:val="single"/>
          <w:lang w:val="ro-RO" w:eastAsia="ro-RO"/>
        </w:rPr>
        <w:t xml:space="preserve">  </w:t>
      </w:r>
      <w:hyperlink r:id="rId10" w:history="1">
        <w:r w:rsidR="00562C9E" w:rsidRPr="00562C9E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val="ro-RO" w:eastAsia="ro-RO"/>
          </w:rPr>
          <w:t>www.actelocale.md</w:t>
        </w:r>
      </w:hyperlink>
      <w:r w:rsidR="00562C9E" w:rsidRPr="00562C9E">
        <w:rPr>
          <w:rFonts w:ascii="Times New Roman" w:eastAsia="Times New Roman" w:hAnsi="Times New Roman" w:cs="Times New Roman"/>
          <w:sz w:val="28"/>
          <w:szCs w:val="26"/>
          <w:u w:val="single"/>
          <w:lang w:val="ro-RO" w:eastAsia="ro-RO"/>
        </w:rPr>
        <w:t xml:space="preserve"> .</w:t>
      </w:r>
    </w:p>
    <w:p w:rsidR="00EF1BC4" w:rsidRDefault="00EF1BC4" w:rsidP="00EF1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2141B" w:rsidRDefault="00EF1BC4" w:rsidP="00EF1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32141B" w:rsidRPr="00F02DC9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Președintele ședinței                                                </w:t>
      </w:r>
      <w:r w:rsidR="00635E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AB4D0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B1F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Vladimir </w:t>
      </w:r>
      <w:proofErr w:type="spellStart"/>
      <w:r w:rsidR="00AB1FE2">
        <w:rPr>
          <w:rFonts w:ascii="Times New Roman" w:hAnsi="Times New Roman" w:cs="Times New Roman"/>
          <w:b/>
          <w:sz w:val="28"/>
          <w:szCs w:val="28"/>
          <w:lang w:val="ro-RO"/>
        </w:rPr>
        <w:t>Stratulat</w:t>
      </w:r>
      <w:proofErr w:type="spellEnd"/>
    </w:p>
    <w:p w:rsidR="00A43709" w:rsidRPr="00F02DC9" w:rsidRDefault="00A43709" w:rsidP="003917F2">
      <w:pPr>
        <w:spacing w:after="0" w:line="240" w:lineRule="auto"/>
        <w:ind w:left="357" w:firstLine="34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4101D" w:rsidRPr="00A75CC7" w:rsidRDefault="00A75CC7" w:rsidP="00A75C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Secretarul</w:t>
      </w:r>
      <w:r w:rsidR="003917F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2141B" w:rsidRPr="00F02DC9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Consiliului raional                                       </w:t>
      </w:r>
      <w:r w:rsidR="00AB1FE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Sergiu Lazăr</w:t>
      </w:r>
    </w:p>
    <w:p w:rsidR="00A4101D" w:rsidRDefault="00A4101D" w:rsidP="004B044E">
      <w:pPr>
        <w:tabs>
          <w:tab w:val="left" w:pos="18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62C9E" w:rsidRDefault="00562C9E" w:rsidP="004B044E">
      <w:pPr>
        <w:tabs>
          <w:tab w:val="left" w:pos="18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62C9E" w:rsidRDefault="00562C9E" w:rsidP="004B044E">
      <w:pPr>
        <w:tabs>
          <w:tab w:val="left" w:pos="18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62C9E" w:rsidRDefault="00562C9E" w:rsidP="00AB4D06">
      <w:pPr>
        <w:tabs>
          <w:tab w:val="left" w:pos="18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B044E" w:rsidRPr="004B044E" w:rsidRDefault="004B044E" w:rsidP="004B044E">
      <w:pPr>
        <w:tabs>
          <w:tab w:val="left" w:pos="18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B044E">
        <w:rPr>
          <w:rFonts w:ascii="Times New Roman" w:eastAsia="Times New Roman" w:hAnsi="Times New Roman" w:cs="Times New Roman"/>
          <w:sz w:val="24"/>
          <w:szCs w:val="24"/>
          <w:lang w:val="ro-RO"/>
        </w:rPr>
        <w:t>Anexa nr. 1,</w:t>
      </w:r>
      <w:r w:rsidR="003911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decizia nr. </w:t>
      </w:r>
      <w:r w:rsidR="00AB4D06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391127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="00AB1FE2">
        <w:rPr>
          <w:rFonts w:ascii="Times New Roman" w:eastAsia="Times New Roman" w:hAnsi="Times New Roman" w:cs="Times New Roman"/>
          <w:sz w:val="24"/>
          <w:szCs w:val="24"/>
          <w:lang w:val="ro-RO"/>
        </w:rPr>
        <w:t>17</w:t>
      </w:r>
      <w:r w:rsidR="0039112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</w:t>
      </w:r>
      <w:r w:rsidR="00A772A4">
        <w:rPr>
          <w:rFonts w:ascii="Times New Roman" w:eastAsia="Times New Roman" w:hAnsi="Times New Roman" w:cs="Times New Roman"/>
          <w:sz w:val="24"/>
          <w:szCs w:val="24"/>
          <w:lang w:val="ro-RO"/>
        </w:rPr>
        <w:t>07</w:t>
      </w:r>
      <w:r w:rsidR="009F33F5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A772A4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CE3B68">
        <w:rPr>
          <w:rFonts w:ascii="Times New Roman" w:eastAsia="Times New Roman" w:hAnsi="Times New Roman" w:cs="Times New Roman"/>
          <w:sz w:val="24"/>
          <w:szCs w:val="24"/>
          <w:lang w:val="ro-RO"/>
        </w:rPr>
        <w:t>.2017</w:t>
      </w:r>
    </w:p>
    <w:p w:rsidR="004B044E" w:rsidRPr="004B044E" w:rsidRDefault="004B044E" w:rsidP="004B044E">
      <w:pPr>
        <w:tabs>
          <w:tab w:val="left" w:pos="18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3118"/>
        <w:gridCol w:w="4111"/>
      </w:tblGrid>
      <w:tr w:rsidR="008323C0" w:rsidRPr="00AB1FE2" w:rsidTr="008323C0"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Numele, prenumele</w:t>
            </w:r>
          </w:p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personalului de conducere</w:t>
            </w:r>
          </w:p>
        </w:tc>
        <w:tc>
          <w:tcPr>
            <w:tcW w:w="3118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Func</w:t>
            </w:r>
            <w:r w:rsidRPr="004B044E"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ia de</w:t>
            </w:r>
            <w:r w:rsidRPr="004B044E"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inută</w:t>
            </w:r>
          </w:p>
        </w:tc>
        <w:tc>
          <w:tcPr>
            <w:tcW w:w="4111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Mărimea suplimentului la salariu pentru performanțe profesionale individuale în muncă ( </w:t>
            </w:r>
            <w:r w:rsidR="00D41BEF"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până</w:t>
            </w:r>
            <w:r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la 50 la sută din salariul de funcție)</w:t>
            </w:r>
          </w:p>
        </w:tc>
      </w:tr>
      <w:tr w:rsidR="008323C0" w:rsidRPr="004B044E" w:rsidTr="008323C0"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Bivol Alexei</w:t>
            </w:r>
          </w:p>
        </w:tc>
        <w:tc>
          <w:tcPr>
            <w:tcW w:w="3118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4111" w:type="dxa"/>
          </w:tcPr>
          <w:p w:rsidR="008323C0" w:rsidRPr="00414236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35</w:t>
            </w:r>
            <w:r w:rsidR="008323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%</w:t>
            </w:r>
          </w:p>
        </w:tc>
      </w:tr>
      <w:tr w:rsidR="00D41BEF" w:rsidRPr="004B044E" w:rsidTr="008323C0">
        <w:tc>
          <w:tcPr>
            <w:tcW w:w="2553" w:type="dxa"/>
          </w:tcPr>
          <w:p w:rsidR="00D41BEF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Gori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B044E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tefan</w:t>
            </w:r>
          </w:p>
        </w:tc>
        <w:tc>
          <w:tcPr>
            <w:tcW w:w="3118" w:type="dxa"/>
          </w:tcPr>
          <w:p w:rsidR="00D41BEF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Vice-director medical</w:t>
            </w:r>
          </w:p>
        </w:tc>
        <w:tc>
          <w:tcPr>
            <w:tcW w:w="4111" w:type="dxa"/>
          </w:tcPr>
          <w:p w:rsidR="00D41BEF" w:rsidRDefault="00D41BEF" w:rsidP="00D41BEF">
            <w:pPr>
              <w:jc w:val="center"/>
            </w:pPr>
            <w:r w:rsidRPr="00123F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35%</w:t>
            </w:r>
          </w:p>
        </w:tc>
      </w:tr>
      <w:tr w:rsidR="00D41BEF" w:rsidRPr="004B044E" w:rsidTr="008323C0">
        <w:tc>
          <w:tcPr>
            <w:tcW w:w="2553" w:type="dxa"/>
          </w:tcPr>
          <w:p w:rsidR="00D41BEF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Nederi</w:t>
            </w:r>
            <w:r w:rsidRPr="004B044E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Vera</w:t>
            </w:r>
          </w:p>
        </w:tc>
        <w:tc>
          <w:tcPr>
            <w:tcW w:w="3118" w:type="dxa"/>
          </w:tcPr>
          <w:p w:rsidR="00D41BEF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B044E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eful serviciului economic</w:t>
            </w:r>
          </w:p>
        </w:tc>
        <w:tc>
          <w:tcPr>
            <w:tcW w:w="4111" w:type="dxa"/>
          </w:tcPr>
          <w:p w:rsidR="00D41BEF" w:rsidRDefault="00D41BEF" w:rsidP="00D41BEF">
            <w:pPr>
              <w:jc w:val="center"/>
            </w:pPr>
            <w:r w:rsidRPr="00123F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35%</w:t>
            </w:r>
          </w:p>
        </w:tc>
      </w:tr>
      <w:tr w:rsidR="00D41BEF" w:rsidRPr="004B044E" w:rsidTr="008323C0">
        <w:tc>
          <w:tcPr>
            <w:tcW w:w="2553" w:type="dxa"/>
          </w:tcPr>
          <w:p w:rsidR="00D41BEF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Gherghi</w:t>
            </w:r>
            <w:r w:rsidRPr="004B044E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enco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Silvia</w:t>
            </w:r>
          </w:p>
        </w:tc>
        <w:tc>
          <w:tcPr>
            <w:tcW w:w="3118" w:type="dxa"/>
          </w:tcPr>
          <w:p w:rsidR="00D41BEF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Contabil - </w:t>
            </w:r>
            <w:r w:rsidRPr="004B044E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</w:t>
            </w:r>
          </w:p>
        </w:tc>
        <w:tc>
          <w:tcPr>
            <w:tcW w:w="4111" w:type="dxa"/>
          </w:tcPr>
          <w:p w:rsidR="00D41BEF" w:rsidRDefault="00D41BEF" w:rsidP="00D41BEF">
            <w:pPr>
              <w:jc w:val="center"/>
            </w:pPr>
            <w:r w:rsidRPr="00123F5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35%</w:t>
            </w:r>
          </w:p>
        </w:tc>
      </w:tr>
    </w:tbl>
    <w:p w:rsidR="004B044E" w:rsidRPr="004B044E" w:rsidRDefault="004B044E" w:rsidP="004B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B044E" w:rsidRPr="004B044E" w:rsidRDefault="004B044E" w:rsidP="004B044E">
      <w:pPr>
        <w:tabs>
          <w:tab w:val="left" w:pos="18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B04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2, </w:t>
      </w:r>
      <w:r w:rsidR="00CE3B68">
        <w:rPr>
          <w:rFonts w:ascii="Times New Roman" w:eastAsia="Times New Roman" w:hAnsi="Times New Roman" w:cs="Times New Roman"/>
          <w:sz w:val="24"/>
          <w:szCs w:val="24"/>
          <w:lang w:val="ro-RO"/>
        </w:rPr>
        <w:t>la decizia nr. 2/</w:t>
      </w:r>
      <w:r w:rsidR="00AB1FE2">
        <w:rPr>
          <w:rFonts w:ascii="Times New Roman" w:eastAsia="Times New Roman" w:hAnsi="Times New Roman" w:cs="Times New Roman"/>
          <w:sz w:val="24"/>
          <w:szCs w:val="24"/>
          <w:lang w:val="ro-RO"/>
        </w:rPr>
        <w:t>17</w:t>
      </w:r>
      <w:r w:rsidR="00CE3B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A772A4">
        <w:rPr>
          <w:rFonts w:ascii="Times New Roman" w:eastAsia="Times New Roman" w:hAnsi="Times New Roman" w:cs="Times New Roman"/>
          <w:sz w:val="24"/>
          <w:szCs w:val="24"/>
          <w:lang w:val="ro-RO"/>
        </w:rPr>
        <w:t>din 07.04.2017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977"/>
        <w:gridCol w:w="4111"/>
      </w:tblGrid>
      <w:tr w:rsidR="008323C0" w:rsidRPr="00AB1FE2" w:rsidTr="008323C0">
        <w:tc>
          <w:tcPr>
            <w:tcW w:w="2694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Numele, prenumele</w:t>
            </w:r>
          </w:p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personalului de conducere</w:t>
            </w:r>
          </w:p>
        </w:tc>
        <w:tc>
          <w:tcPr>
            <w:tcW w:w="2977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Func</w:t>
            </w:r>
            <w:r w:rsidRPr="004B044E"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ia de</w:t>
            </w:r>
            <w:r w:rsidRPr="004B044E"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inută</w:t>
            </w:r>
          </w:p>
        </w:tc>
        <w:tc>
          <w:tcPr>
            <w:tcW w:w="4111" w:type="dxa"/>
          </w:tcPr>
          <w:p w:rsidR="008323C0" w:rsidRPr="00414236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o-RO"/>
              </w:rPr>
            </w:pPr>
            <w:r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Mărimea suplimentului la salariu pentru performanțe profesionale individuale în muncă ( </w:t>
            </w:r>
            <w:r w:rsidR="00D41BEF"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până</w:t>
            </w:r>
            <w:r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la 50 la sută din salariul de funcție)</w:t>
            </w:r>
          </w:p>
        </w:tc>
      </w:tr>
      <w:tr w:rsidR="008323C0" w:rsidRPr="004B044E" w:rsidTr="008323C0">
        <w:tc>
          <w:tcPr>
            <w:tcW w:w="2694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Nastas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Aliona</w:t>
            </w:r>
            <w:proofErr w:type="spellEnd"/>
          </w:p>
        </w:tc>
        <w:tc>
          <w:tcPr>
            <w:tcW w:w="2977" w:type="dxa"/>
          </w:tcPr>
          <w:p w:rsidR="008323C0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Şef CS Teleneşti</w:t>
            </w:r>
          </w:p>
        </w:tc>
        <w:tc>
          <w:tcPr>
            <w:tcW w:w="4111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EF2A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  <w:tr w:rsidR="008323C0" w:rsidRPr="004B044E" w:rsidTr="008323C0">
        <w:tc>
          <w:tcPr>
            <w:tcW w:w="2694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Avricenco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Valeriu</w:t>
            </w:r>
          </w:p>
        </w:tc>
        <w:tc>
          <w:tcPr>
            <w:tcW w:w="2977" w:type="dxa"/>
          </w:tcPr>
          <w:p w:rsidR="008323C0" w:rsidRPr="004B044E" w:rsidRDefault="00D41BEF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Şef adjunct CS Teleneşti</w:t>
            </w:r>
          </w:p>
        </w:tc>
        <w:tc>
          <w:tcPr>
            <w:tcW w:w="4111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EF2A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  <w:tr w:rsidR="008323C0" w:rsidRPr="004B044E" w:rsidTr="008323C0">
        <w:tc>
          <w:tcPr>
            <w:tcW w:w="2694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Pinteac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Svetlana</w:t>
            </w:r>
          </w:p>
        </w:tc>
        <w:tc>
          <w:tcPr>
            <w:tcW w:w="2977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Contabil - </w:t>
            </w:r>
            <w:r w:rsidRPr="004B044E">
              <w:rPr>
                <w:rFonts w:ascii="Cambria Math" w:eastAsia="Times New Roman" w:hAnsi="Cambria Math" w:cs="Cambria Math"/>
                <w:sz w:val="26"/>
                <w:szCs w:val="26"/>
                <w:lang w:val="ro-RO"/>
              </w:rPr>
              <w:t>ș</w:t>
            </w:r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ef</w:t>
            </w:r>
            <w:r w:rsidR="00D41BEF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CS Teleneşti</w:t>
            </w:r>
          </w:p>
        </w:tc>
        <w:tc>
          <w:tcPr>
            <w:tcW w:w="4111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EF2A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  <w:tr w:rsidR="008323C0" w:rsidRPr="004B044E" w:rsidTr="008323C0">
        <w:tc>
          <w:tcPr>
            <w:tcW w:w="2694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Catrinescu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Iacob</w:t>
            </w:r>
          </w:p>
        </w:tc>
        <w:tc>
          <w:tcPr>
            <w:tcW w:w="2977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B044E"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 w:rsidR="00D41BE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eful secţiei</w:t>
            </w:r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economi</w:t>
            </w:r>
            <w:r w:rsidR="00D41BE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="00D41BEF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CS Teleneşti</w:t>
            </w:r>
          </w:p>
        </w:tc>
        <w:tc>
          <w:tcPr>
            <w:tcW w:w="4111" w:type="dxa"/>
          </w:tcPr>
          <w:p w:rsidR="008323C0" w:rsidRPr="00414236" w:rsidRDefault="007627A9" w:rsidP="003917F2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25</w:t>
            </w:r>
            <w:r w:rsidR="008323C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%</w:t>
            </w:r>
          </w:p>
        </w:tc>
      </w:tr>
    </w:tbl>
    <w:p w:rsidR="004B044E" w:rsidRPr="004B044E" w:rsidRDefault="004B044E" w:rsidP="004B0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B044E" w:rsidRPr="004B044E" w:rsidRDefault="004B044E" w:rsidP="004B044E">
      <w:pPr>
        <w:tabs>
          <w:tab w:val="left" w:pos="183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B04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nr. 3, </w:t>
      </w:r>
      <w:r w:rsidR="00CE3B68">
        <w:rPr>
          <w:rFonts w:ascii="Times New Roman" w:eastAsia="Times New Roman" w:hAnsi="Times New Roman" w:cs="Times New Roman"/>
          <w:sz w:val="24"/>
          <w:szCs w:val="24"/>
          <w:lang w:val="ro-RO"/>
        </w:rPr>
        <w:t>la decizia nr. 2/</w:t>
      </w:r>
      <w:r w:rsidR="00AB1FE2">
        <w:rPr>
          <w:rFonts w:ascii="Times New Roman" w:eastAsia="Times New Roman" w:hAnsi="Times New Roman" w:cs="Times New Roman"/>
          <w:sz w:val="24"/>
          <w:szCs w:val="24"/>
          <w:lang w:val="ro-RO"/>
        </w:rPr>
        <w:t>17</w:t>
      </w:r>
      <w:r w:rsidR="00CE3B6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A772A4">
        <w:rPr>
          <w:rFonts w:ascii="Times New Roman" w:eastAsia="Times New Roman" w:hAnsi="Times New Roman" w:cs="Times New Roman"/>
          <w:sz w:val="24"/>
          <w:szCs w:val="24"/>
          <w:lang w:val="ro-RO"/>
        </w:rPr>
        <w:t>din 07.04.2017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3402"/>
        <w:gridCol w:w="3827"/>
      </w:tblGrid>
      <w:tr w:rsidR="008323C0" w:rsidRPr="00AB1FE2" w:rsidTr="008323C0"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Numele, prenumele</w:t>
            </w:r>
          </w:p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   Func</w:t>
            </w:r>
            <w:r w:rsidRPr="004B044E"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ia de</w:t>
            </w:r>
            <w:r w:rsidRPr="004B044E">
              <w:rPr>
                <w:rFonts w:ascii="Cambria Math" w:eastAsia="Times New Roman" w:hAnsi="Cambria Math" w:cs="Cambria Math"/>
                <w:b/>
                <w:sz w:val="24"/>
                <w:szCs w:val="24"/>
                <w:lang w:val="ro-RO"/>
              </w:rPr>
              <w:t>ț</w:t>
            </w:r>
            <w:r w:rsidRPr="004B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inută/instituția</w:t>
            </w:r>
          </w:p>
        </w:tc>
        <w:tc>
          <w:tcPr>
            <w:tcW w:w="3827" w:type="dxa"/>
          </w:tcPr>
          <w:p w:rsidR="008323C0" w:rsidRPr="00414236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ro-RO"/>
              </w:rPr>
            </w:pPr>
            <w:r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Mărimea suplimentului la salariu pentru performanțe profesionale individuale în muncă ( </w:t>
            </w:r>
            <w:r w:rsidR="00D41BEF"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până</w:t>
            </w:r>
            <w:r w:rsidRPr="00D41B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la 50 la sută din salariul de funcție)</w:t>
            </w:r>
          </w:p>
        </w:tc>
      </w:tr>
      <w:tr w:rsidR="008323C0" w:rsidRPr="004B044E" w:rsidTr="008323C0"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Antonevici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Nina</w:t>
            </w:r>
          </w:p>
        </w:tc>
        <w:tc>
          <w:tcPr>
            <w:tcW w:w="3402" w:type="dxa"/>
          </w:tcPr>
          <w:p w:rsidR="008323C0" w:rsidRPr="004B044E" w:rsidRDefault="00D41BEF" w:rsidP="00D41BEF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Şef</w:t>
            </w:r>
            <w:r w:rsidR="008323C0"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,</w:t>
            </w:r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CS </w:t>
            </w:r>
            <w:proofErr w:type="spellStart"/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Brînzenii</w:t>
            </w:r>
            <w:proofErr w:type="spellEnd"/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Noi</w:t>
            </w:r>
          </w:p>
        </w:tc>
        <w:tc>
          <w:tcPr>
            <w:tcW w:w="3827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7861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  <w:tr w:rsidR="008323C0" w:rsidRPr="004B044E" w:rsidTr="008323C0"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Cristea Anatol</w:t>
            </w:r>
          </w:p>
        </w:tc>
        <w:tc>
          <w:tcPr>
            <w:tcW w:w="3402" w:type="dxa"/>
          </w:tcPr>
          <w:p w:rsidR="008323C0" w:rsidRPr="004B044E" w:rsidRDefault="00D41BEF" w:rsidP="004B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Şef</w:t>
            </w:r>
            <w:r w:rsidR="008323C0"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,</w:t>
            </w:r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CS Căzănești</w:t>
            </w:r>
          </w:p>
        </w:tc>
        <w:tc>
          <w:tcPr>
            <w:tcW w:w="3827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7861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  <w:tr w:rsidR="008323C0" w:rsidRPr="004B044E" w:rsidTr="008323C0"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Ombun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Ion</w:t>
            </w:r>
          </w:p>
        </w:tc>
        <w:tc>
          <w:tcPr>
            <w:tcW w:w="3402" w:type="dxa"/>
          </w:tcPr>
          <w:p w:rsidR="008323C0" w:rsidRPr="004B044E" w:rsidRDefault="00D41BEF" w:rsidP="004B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Şef</w:t>
            </w:r>
            <w:r w:rsidR="008323C0"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,</w:t>
            </w:r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CS Chiștelnița</w:t>
            </w:r>
          </w:p>
        </w:tc>
        <w:tc>
          <w:tcPr>
            <w:tcW w:w="3827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7861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  <w:tr w:rsidR="008323C0" w:rsidRPr="004B044E" w:rsidTr="008323C0">
        <w:trPr>
          <w:trHeight w:val="345"/>
        </w:trPr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Bîlici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Varvara</w:t>
            </w:r>
          </w:p>
        </w:tc>
        <w:tc>
          <w:tcPr>
            <w:tcW w:w="3402" w:type="dxa"/>
          </w:tcPr>
          <w:p w:rsidR="008323C0" w:rsidRPr="004B044E" w:rsidRDefault="00D41BEF" w:rsidP="004B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Şef</w:t>
            </w:r>
            <w:r w:rsidR="008323C0"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,</w:t>
            </w:r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CS </w:t>
            </w:r>
            <w:proofErr w:type="spellStart"/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Mîndrești</w:t>
            </w:r>
            <w:proofErr w:type="spellEnd"/>
          </w:p>
        </w:tc>
        <w:tc>
          <w:tcPr>
            <w:tcW w:w="3827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7861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  <w:tr w:rsidR="008323C0" w:rsidRPr="004B044E" w:rsidTr="008323C0">
        <w:trPr>
          <w:trHeight w:val="359"/>
        </w:trPr>
        <w:tc>
          <w:tcPr>
            <w:tcW w:w="2553" w:type="dxa"/>
          </w:tcPr>
          <w:p w:rsidR="008323C0" w:rsidRPr="004B044E" w:rsidRDefault="008323C0" w:rsidP="004B044E">
            <w:pPr>
              <w:tabs>
                <w:tab w:val="left" w:pos="426"/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Porcescu</w:t>
            </w:r>
            <w:proofErr w:type="spellEnd"/>
            <w:r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Nicolae</w:t>
            </w:r>
          </w:p>
        </w:tc>
        <w:tc>
          <w:tcPr>
            <w:tcW w:w="3402" w:type="dxa"/>
          </w:tcPr>
          <w:p w:rsidR="008323C0" w:rsidRPr="004B044E" w:rsidRDefault="00D41BEF" w:rsidP="004B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Şef</w:t>
            </w:r>
            <w:r w:rsidR="008323C0" w:rsidRPr="004B044E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,</w:t>
            </w:r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CS </w:t>
            </w:r>
            <w:proofErr w:type="spellStart"/>
            <w:r w:rsidR="003E278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Sără</w:t>
            </w:r>
            <w:r w:rsidR="008323C0" w:rsidRPr="004B044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tenii-Vechi</w:t>
            </w:r>
            <w:proofErr w:type="spellEnd"/>
          </w:p>
        </w:tc>
        <w:tc>
          <w:tcPr>
            <w:tcW w:w="3827" w:type="dxa"/>
          </w:tcPr>
          <w:p w:rsidR="008323C0" w:rsidRDefault="008323C0" w:rsidP="003917F2">
            <w:pPr>
              <w:spacing w:line="240" w:lineRule="auto"/>
              <w:jc w:val="center"/>
            </w:pPr>
            <w:r w:rsidRPr="007861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/>
              </w:rPr>
              <w:t>50%</w:t>
            </w:r>
          </w:p>
        </w:tc>
      </w:tr>
    </w:tbl>
    <w:p w:rsidR="00745A2B" w:rsidRPr="0032141B" w:rsidRDefault="00AB1FE2">
      <w:pPr>
        <w:rPr>
          <w:lang w:val="ro-RO"/>
        </w:rPr>
      </w:pPr>
    </w:p>
    <w:sectPr w:rsidR="00745A2B" w:rsidRPr="0032141B" w:rsidSect="005B5B66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B41D5"/>
    <w:rsid w:val="0008171D"/>
    <w:rsid w:val="000E669D"/>
    <w:rsid w:val="000F1E79"/>
    <w:rsid w:val="00132CFE"/>
    <w:rsid w:val="001411CA"/>
    <w:rsid w:val="00164B20"/>
    <w:rsid w:val="001B3486"/>
    <w:rsid w:val="001E4CFE"/>
    <w:rsid w:val="00212F1C"/>
    <w:rsid w:val="002A1342"/>
    <w:rsid w:val="002C6F16"/>
    <w:rsid w:val="002F299C"/>
    <w:rsid w:val="002F619F"/>
    <w:rsid w:val="0032141B"/>
    <w:rsid w:val="00391127"/>
    <w:rsid w:val="003917F2"/>
    <w:rsid w:val="003C0EF1"/>
    <w:rsid w:val="003E2786"/>
    <w:rsid w:val="003E5701"/>
    <w:rsid w:val="00414236"/>
    <w:rsid w:val="0045114D"/>
    <w:rsid w:val="004A2A43"/>
    <w:rsid w:val="004B044E"/>
    <w:rsid w:val="004B2A90"/>
    <w:rsid w:val="0052717D"/>
    <w:rsid w:val="00562C9E"/>
    <w:rsid w:val="00564DB2"/>
    <w:rsid w:val="005A0D5F"/>
    <w:rsid w:val="005B5B66"/>
    <w:rsid w:val="00605CBC"/>
    <w:rsid w:val="006070AC"/>
    <w:rsid w:val="00635E0F"/>
    <w:rsid w:val="00654C60"/>
    <w:rsid w:val="006823A0"/>
    <w:rsid w:val="006F30A5"/>
    <w:rsid w:val="007627A9"/>
    <w:rsid w:val="007A3AE9"/>
    <w:rsid w:val="008323C0"/>
    <w:rsid w:val="009C0DE5"/>
    <w:rsid w:val="009C1C27"/>
    <w:rsid w:val="009D0980"/>
    <w:rsid w:val="009F33F5"/>
    <w:rsid w:val="00A20355"/>
    <w:rsid w:val="00A4101D"/>
    <w:rsid w:val="00A43709"/>
    <w:rsid w:val="00A706AF"/>
    <w:rsid w:val="00A75CC7"/>
    <w:rsid w:val="00A772A4"/>
    <w:rsid w:val="00AB1FE2"/>
    <w:rsid w:val="00AB4D06"/>
    <w:rsid w:val="00B66DEF"/>
    <w:rsid w:val="00B66FDE"/>
    <w:rsid w:val="00C05BF5"/>
    <w:rsid w:val="00CE3B68"/>
    <w:rsid w:val="00D41BEF"/>
    <w:rsid w:val="00D570DE"/>
    <w:rsid w:val="00D620AB"/>
    <w:rsid w:val="00DB41D5"/>
    <w:rsid w:val="00DE583A"/>
    <w:rsid w:val="00E07557"/>
    <w:rsid w:val="00E20696"/>
    <w:rsid w:val="00E43C21"/>
    <w:rsid w:val="00E75FE3"/>
    <w:rsid w:val="00EC731D"/>
    <w:rsid w:val="00ED7ADA"/>
    <w:rsid w:val="00EF1BC4"/>
    <w:rsid w:val="00FE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1B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2141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141B"/>
    <w:rPr>
      <w:rFonts w:ascii="Tahoma" w:eastAsiaTheme="minorEastAsia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5B5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1B"/>
    <w:rPr>
      <w:rFonts w:eastAsiaTheme="minorEastAsia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2141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141B"/>
    <w:rPr>
      <w:rFonts w:ascii="Tahoma" w:eastAsiaTheme="minorEastAsia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5B5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elenesti.md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consiliul@telenesti.m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actelocale.md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elenest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</vt:vector>
  </HeadingPairs>
  <TitlesOfParts>
    <vt:vector size="5" baseType="lpstr">
      <vt:lpstr/>
      <vt:lpstr>    REPUBLICA MOLDOVA        /</vt:lpstr>
      <vt:lpstr>    CONSILIUL RAIONAL TELENEȘTI</vt:lpstr>
      <vt:lpstr>    MD-5801, or.Teleneşti, str.31 August, 9 tel: (258)2-20-58, 2-26-50, fax: 2-24-5</vt:lpstr>
      <vt:lpstr>    www.telenesti.md,  consiliul@telenesti.md, posta@telenesti.md	</vt:lpstr>
    </vt:vector>
  </TitlesOfParts>
  <Company>Reanimator Extreme Edition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Sergiu</cp:lastModifiedBy>
  <cp:revision>15</cp:revision>
  <cp:lastPrinted>2017-04-10T08:22:00Z</cp:lastPrinted>
  <dcterms:created xsi:type="dcterms:W3CDTF">2016-10-28T06:11:00Z</dcterms:created>
  <dcterms:modified xsi:type="dcterms:W3CDTF">2017-04-10T08:22:00Z</dcterms:modified>
</cp:coreProperties>
</file>