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75" w:rsidRPr="00F3287D" w:rsidRDefault="00E31C75" w:rsidP="00E31C75">
      <w:pPr>
        <w:tabs>
          <w:tab w:val="left" w:pos="3105"/>
          <w:tab w:val="right" w:pos="9214"/>
        </w:tabs>
        <w:rPr>
          <w:rFonts w:ascii="Calibri" w:eastAsia="Calibri" w:hAnsi="Calibri"/>
          <w:sz w:val="22"/>
          <w:szCs w:val="22"/>
          <w:lang w:eastAsia="en-US"/>
        </w:rPr>
      </w:pPr>
      <w:r w:rsidRPr="00F3287D">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E31C75" w:rsidRPr="00F3287D"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F3287D">
        <w:rPr>
          <w:rFonts w:eastAsia="Calibri"/>
          <w:b/>
          <w:sz w:val="36"/>
          <w:szCs w:val="22"/>
          <w:lang w:eastAsia="en-US"/>
        </w:rPr>
        <w:t xml:space="preserve">                                    REPUBLICA MOLDOVA        </w:t>
      </w:r>
      <w:r w:rsidRPr="00F3287D">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8"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F3287D">
        <w:rPr>
          <w:rFonts w:eastAsia="Calibri"/>
          <w:b/>
          <w:sz w:val="28"/>
          <w:szCs w:val="22"/>
          <w:lang w:eastAsia="en-US"/>
        </w:rPr>
        <w:t xml:space="preserve"> CONSILIUL</w:t>
      </w:r>
      <w:r w:rsidRPr="00F3287D">
        <w:rPr>
          <w:rFonts w:eastAsia="Calibri"/>
          <w:b/>
          <w:color w:val="FFFFFF" w:themeColor="background1"/>
          <w:sz w:val="28"/>
          <w:szCs w:val="22"/>
          <w:lang w:eastAsia="en-US"/>
        </w:rPr>
        <w:t>_</w:t>
      </w:r>
      <w:r w:rsidRPr="00F3287D">
        <w:rPr>
          <w:rFonts w:eastAsia="Calibri"/>
          <w:b/>
          <w:sz w:val="28"/>
          <w:szCs w:val="22"/>
          <w:lang w:eastAsia="en-US"/>
        </w:rPr>
        <w:t>RAIONAL TELENEȘTI</w:t>
      </w:r>
      <w:r w:rsidRPr="00F3287D">
        <w:rPr>
          <w:rFonts w:eastAsia="Calibri"/>
          <w:b/>
          <w:sz w:val="28"/>
          <w:szCs w:val="22"/>
          <w:u w:val="single"/>
          <w:lang w:eastAsia="en-US"/>
        </w:rPr>
        <w:t xml:space="preserve">    </w:t>
      </w:r>
      <w:r w:rsidR="00DA02CD" w:rsidRPr="00F3287D">
        <w:rPr>
          <w:rFonts w:eastAsia="Calibri"/>
          <w:b/>
          <w:sz w:val="28"/>
          <w:szCs w:val="22"/>
          <w:u w:val="single"/>
          <w:lang w:eastAsia="en-US"/>
        </w:rPr>
        <w:t xml:space="preserve">           </w:t>
      </w:r>
    </w:p>
    <w:p w:rsidR="00E31C75" w:rsidRPr="00F3287D" w:rsidRDefault="00E31C75" w:rsidP="00E31C75">
      <w:pPr>
        <w:spacing w:line="276" w:lineRule="auto"/>
        <w:jc w:val="center"/>
        <w:outlineLvl w:val="1"/>
        <w:rPr>
          <w:sz w:val="20"/>
          <w:szCs w:val="20"/>
          <w:lang w:eastAsia="ru-RU"/>
        </w:rPr>
      </w:pPr>
      <w:r w:rsidRPr="00F3287D">
        <w:rPr>
          <w:rFonts w:ascii="Calibri" w:eastAsia="Calibri" w:hAnsi="Calibri"/>
          <w:szCs w:val="22"/>
          <w:lang w:eastAsia="en-US"/>
        </w:rPr>
        <w:t xml:space="preserve"> </w:t>
      </w:r>
      <w:r w:rsidRPr="00F3287D">
        <w:rPr>
          <w:sz w:val="20"/>
          <w:szCs w:val="20"/>
          <w:lang w:eastAsia="ru-RU"/>
        </w:rPr>
        <w:t>MD-5801, or.Teleneşti, str.31 August, 9 tel: (258)2-20-58, 2-26-50, fax: 2-24-50</w:t>
      </w:r>
    </w:p>
    <w:p w:rsidR="00E31C75" w:rsidRPr="00F3287D" w:rsidRDefault="00B67128" w:rsidP="00847876">
      <w:pPr>
        <w:spacing w:line="276" w:lineRule="auto"/>
        <w:jc w:val="center"/>
        <w:outlineLvl w:val="1"/>
        <w:rPr>
          <w:rFonts w:ascii="Calibri" w:eastAsia="Calibri" w:hAnsi="Calibri"/>
          <w:sz w:val="22"/>
          <w:szCs w:val="22"/>
          <w:lang w:eastAsia="en-US"/>
        </w:rPr>
      </w:pPr>
      <w:hyperlink r:id="rId9" w:history="1">
        <w:r w:rsidR="00E31C75" w:rsidRPr="00F3287D">
          <w:rPr>
            <w:color w:val="0000FF"/>
            <w:sz w:val="18"/>
            <w:szCs w:val="20"/>
            <w:u w:val="single"/>
            <w:lang w:eastAsia="ru-RU"/>
          </w:rPr>
          <w:t>www.telenesti.md</w:t>
        </w:r>
      </w:hyperlink>
      <w:r w:rsidR="00E31C75" w:rsidRPr="00F3287D">
        <w:rPr>
          <w:color w:val="0000FF"/>
          <w:sz w:val="18"/>
          <w:szCs w:val="20"/>
          <w:u w:val="single"/>
          <w:lang w:eastAsia="ru-RU"/>
        </w:rPr>
        <w:t>,</w:t>
      </w:r>
      <w:r w:rsidR="00E31C75" w:rsidRPr="00F3287D">
        <w:rPr>
          <w:color w:val="0000FF"/>
          <w:sz w:val="18"/>
          <w:szCs w:val="20"/>
          <w:lang w:eastAsia="ru-RU"/>
        </w:rPr>
        <w:t xml:space="preserve"> </w:t>
      </w:r>
      <w:r w:rsidR="00E31C75" w:rsidRPr="00F3287D">
        <w:rPr>
          <w:sz w:val="18"/>
          <w:szCs w:val="20"/>
          <w:lang w:eastAsia="ru-RU"/>
        </w:rPr>
        <w:t xml:space="preserve"> </w:t>
      </w:r>
      <w:hyperlink r:id="rId10" w:history="1">
        <w:r w:rsidR="00E31C75" w:rsidRPr="00F3287D">
          <w:rPr>
            <w:color w:val="0000FF"/>
            <w:sz w:val="18"/>
            <w:szCs w:val="20"/>
            <w:u w:val="single"/>
            <w:lang w:eastAsia="ru-RU"/>
          </w:rPr>
          <w:t>consiliul@telenesti.md</w:t>
        </w:r>
      </w:hyperlink>
      <w:r w:rsidR="00E31C75" w:rsidRPr="00F3287D">
        <w:rPr>
          <w:sz w:val="18"/>
          <w:szCs w:val="20"/>
          <w:lang w:eastAsia="ru-RU"/>
        </w:rPr>
        <w:t xml:space="preserve">, </w:t>
      </w:r>
      <w:hyperlink r:id="rId11" w:history="1">
        <w:r w:rsidR="00E31C75" w:rsidRPr="00F3287D">
          <w:rPr>
            <w:color w:val="0000FF"/>
            <w:sz w:val="18"/>
            <w:szCs w:val="20"/>
            <w:u w:val="single"/>
            <w:lang w:eastAsia="ru-RU"/>
          </w:rPr>
          <w:t>posta@telenesti.md</w:t>
        </w:r>
      </w:hyperlink>
      <w:r w:rsidR="00EE58B0" w:rsidRPr="00F3287D">
        <w:rPr>
          <w:color w:val="0000FF"/>
          <w:sz w:val="18"/>
          <w:szCs w:val="20"/>
          <w:u w:val="single"/>
          <w:lang w:eastAsia="ru-RU"/>
        </w:rPr>
        <w:t xml:space="preserve">                                                      </w:t>
      </w:r>
    </w:p>
    <w:p w:rsidR="00E31C75" w:rsidRPr="00F3287D" w:rsidRDefault="00B67128" w:rsidP="00E31C75">
      <w:r>
        <w:pict>
          <v:rect id="_x0000_i1025" style="width:488.9pt;height:1.75pt" o:hrpct="958" o:hralign="center" o:hrstd="t" o:hr="t" fillcolor="#a0a0a0" stroked="f"/>
        </w:pict>
      </w:r>
    </w:p>
    <w:p w:rsidR="00476812" w:rsidRPr="00F3287D" w:rsidRDefault="00EE58B0" w:rsidP="00476812">
      <w:pPr>
        <w:jc w:val="center"/>
        <w:rPr>
          <w:b/>
          <w:sz w:val="28"/>
          <w:szCs w:val="28"/>
        </w:rPr>
      </w:pPr>
      <w:r w:rsidRPr="00F3287D">
        <w:rPr>
          <w:b/>
          <w:sz w:val="28"/>
          <w:szCs w:val="28"/>
        </w:rPr>
        <w:t xml:space="preserve">DECIZIE nr. </w:t>
      </w:r>
      <w:r w:rsidR="001B0CCC">
        <w:rPr>
          <w:b/>
          <w:sz w:val="28"/>
          <w:szCs w:val="28"/>
        </w:rPr>
        <w:t>2</w:t>
      </w:r>
      <w:r w:rsidRPr="00F3287D">
        <w:rPr>
          <w:b/>
          <w:sz w:val="28"/>
          <w:szCs w:val="28"/>
        </w:rPr>
        <w:t>/</w:t>
      </w:r>
      <w:r w:rsidR="00FA7650">
        <w:rPr>
          <w:b/>
          <w:sz w:val="28"/>
          <w:szCs w:val="28"/>
        </w:rPr>
        <w:t>3</w:t>
      </w:r>
      <w:r w:rsidR="00DA02CD" w:rsidRPr="00F3287D">
        <w:rPr>
          <w:b/>
          <w:sz w:val="28"/>
          <w:szCs w:val="28"/>
        </w:rPr>
        <w:t xml:space="preserve">                                   </w:t>
      </w:r>
    </w:p>
    <w:p w:rsidR="00EE58B0" w:rsidRPr="00F3287D" w:rsidRDefault="00476812" w:rsidP="00E31C75">
      <w:r w:rsidRPr="00F3287D">
        <w:t xml:space="preserve">                                                                                                                                                </w:t>
      </w:r>
      <w:r w:rsidR="00B13325" w:rsidRPr="00F3287D">
        <w:t xml:space="preserve">       </w:t>
      </w:r>
      <w:r w:rsidRPr="00F3287D">
        <w:t xml:space="preserve">    </w:t>
      </w:r>
    </w:p>
    <w:p w:rsidR="00EE58B0" w:rsidRPr="00F3287D" w:rsidRDefault="00B11AD6" w:rsidP="00C05B22">
      <w:r w:rsidRPr="00F3287D">
        <w:t>d</w:t>
      </w:r>
      <w:r w:rsidR="00EE58B0" w:rsidRPr="00F3287D">
        <w:t>in</w:t>
      </w:r>
      <w:r w:rsidRPr="00F3287D">
        <w:t xml:space="preserve"> </w:t>
      </w:r>
      <w:r w:rsidR="009F3D34">
        <w:t>07 aprilie 2017</w:t>
      </w:r>
    </w:p>
    <w:p w:rsidR="002976FD" w:rsidRPr="00F3287D" w:rsidRDefault="002976FD" w:rsidP="00C05B22">
      <w:pPr>
        <w:rPr>
          <w:sz w:val="28"/>
          <w:szCs w:val="28"/>
        </w:rPr>
      </w:pPr>
    </w:p>
    <w:p w:rsidR="00B11AD6" w:rsidRPr="00F3287D" w:rsidRDefault="00B11AD6" w:rsidP="00B11AD6">
      <w:pPr>
        <w:tabs>
          <w:tab w:val="left" w:pos="3420"/>
        </w:tabs>
        <w:rPr>
          <w:b/>
          <w:sz w:val="28"/>
        </w:rPr>
      </w:pPr>
      <w:r w:rsidRPr="00F3287D">
        <w:rPr>
          <w:b/>
          <w:sz w:val="28"/>
        </w:rPr>
        <w:t xml:space="preserve">„Cu privire la corelarea bugetului raional </w:t>
      </w:r>
    </w:p>
    <w:p w:rsidR="00B11AD6" w:rsidRPr="00F3287D" w:rsidRDefault="00B11AD6" w:rsidP="00B11AD6">
      <w:pPr>
        <w:tabs>
          <w:tab w:val="left" w:pos="3420"/>
        </w:tabs>
        <w:rPr>
          <w:b/>
          <w:sz w:val="28"/>
        </w:rPr>
      </w:pPr>
      <w:r w:rsidRPr="00F3287D">
        <w:rPr>
          <w:b/>
          <w:sz w:val="28"/>
        </w:rPr>
        <w:t xml:space="preserve">      cu bugetul de stat  pentru anul 201</w:t>
      </w:r>
      <w:r w:rsidR="00CA386F">
        <w:rPr>
          <w:b/>
          <w:sz w:val="28"/>
        </w:rPr>
        <w:t>7</w:t>
      </w:r>
      <w:r w:rsidRPr="00F3287D">
        <w:rPr>
          <w:b/>
          <w:sz w:val="28"/>
        </w:rPr>
        <w:t>”</w:t>
      </w:r>
    </w:p>
    <w:p w:rsidR="00B11AD6" w:rsidRPr="00F3287D" w:rsidRDefault="00B11AD6" w:rsidP="00B11AD6">
      <w:pPr>
        <w:tabs>
          <w:tab w:val="left" w:pos="3420"/>
        </w:tabs>
        <w:rPr>
          <w:b/>
          <w:sz w:val="28"/>
        </w:rPr>
      </w:pPr>
      <w:r w:rsidRPr="00F3287D">
        <w:rPr>
          <w:sz w:val="28"/>
        </w:rPr>
        <w:t xml:space="preserve">      </w:t>
      </w:r>
    </w:p>
    <w:p w:rsidR="00B11AD6" w:rsidRPr="00F3287D" w:rsidRDefault="00B11AD6" w:rsidP="00B11AD6">
      <w:pPr>
        <w:tabs>
          <w:tab w:val="left" w:pos="3420"/>
        </w:tabs>
        <w:jc w:val="both"/>
        <w:rPr>
          <w:sz w:val="28"/>
        </w:rPr>
      </w:pPr>
      <w:r w:rsidRPr="00F3287D">
        <w:rPr>
          <w:sz w:val="28"/>
        </w:rPr>
        <w:t xml:space="preserve">        </w:t>
      </w:r>
      <w:r w:rsidR="00BB2821">
        <w:rPr>
          <w:sz w:val="28"/>
        </w:rPr>
        <w:t>Ținând cont de circulara Ministerului Finanțelor nr. 06/2-07 din 2</w:t>
      </w:r>
      <w:r w:rsidR="00CA386F">
        <w:rPr>
          <w:sz w:val="28"/>
        </w:rPr>
        <w:t>3</w:t>
      </w:r>
      <w:r w:rsidR="00BB2821">
        <w:rPr>
          <w:sz w:val="28"/>
        </w:rPr>
        <w:t xml:space="preserve">.12.2016 cu privire la </w:t>
      </w:r>
      <w:r w:rsidR="00CA386F">
        <w:rPr>
          <w:sz w:val="28"/>
        </w:rPr>
        <w:t>aprobarea bugetului de stat pe anul 2017 și unele momente ce țin de aprobarea și repartizarea bugetelor locale</w:t>
      </w:r>
      <w:r w:rsidR="00BB2821">
        <w:rPr>
          <w:sz w:val="28"/>
        </w:rPr>
        <w:t>, a</w:t>
      </w:r>
      <w:r w:rsidRPr="00F3287D">
        <w:rPr>
          <w:sz w:val="28"/>
        </w:rPr>
        <w:t xml:space="preserve">vând în vedere necesitatea corelării bugetului raional aprobat prin Decizia Consiliului nr. </w:t>
      </w:r>
      <w:r w:rsidR="00CA386F">
        <w:rPr>
          <w:sz w:val="28"/>
        </w:rPr>
        <w:t>7</w:t>
      </w:r>
      <w:r w:rsidRPr="00F3287D">
        <w:rPr>
          <w:sz w:val="28"/>
        </w:rPr>
        <w:t xml:space="preserve">/1 din </w:t>
      </w:r>
      <w:r w:rsidR="00CA386F">
        <w:rPr>
          <w:sz w:val="28"/>
        </w:rPr>
        <w:t>08</w:t>
      </w:r>
      <w:r w:rsidRPr="00F3287D">
        <w:rPr>
          <w:sz w:val="28"/>
        </w:rPr>
        <w:t>.12.201</w:t>
      </w:r>
      <w:r w:rsidR="00CA386F">
        <w:rPr>
          <w:sz w:val="28"/>
        </w:rPr>
        <w:t>6</w:t>
      </w:r>
      <w:r w:rsidR="003B1615">
        <w:rPr>
          <w:sz w:val="28"/>
        </w:rPr>
        <w:t xml:space="preserve">, </w:t>
      </w:r>
      <w:r w:rsidRPr="00F3287D">
        <w:rPr>
          <w:sz w:val="28"/>
        </w:rPr>
        <w:t>cu bugetul de stat, aprobat prin Legea bugetului de stat pe anul 201</w:t>
      </w:r>
      <w:r w:rsidR="00CA386F">
        <w:rPr>
          <w:sz w:val="28"/>
        </w:rPr>
        <w:t>7</w:t>
      </w:r>
      <w:r w:rsidRPr="00F3287D">
        <w:rPr>
          <w:sz w:val="28"/>
        </w:rPr>
        <w:t xml:space="preserve"> nr. </w:t>
      </w:r>
      <w:r w:rsidR="00CA386F">
        <w:rPr>
          <w:sz w:val="28"/>
        </w:rPr>
        <w:t xml:space="preserve">279 </w:t>
      </w:r>
      <w:r w:rsidRPr="00F3287D">
        <w:rPr>
          <w:sz w:val="28"/>
        </w:rPr>
        <w:t xml:space="preserve"> din </w:t>
      </w:r>
      <w:r w:rsidR="00CA386F">
        <w:rPr>
          <w:sz w:val="28"/>
        </w:rPr>
        <w:t>16</w:t>
      </w:r>
      <w:r w:rsidRPr="00F3287D">
        <w:rPr>
          <w:sz w:val="28"/>
        </w:rPr>
        <w:t>.</w:t>
      </w:r>
      <w:r w:rsidR="00CA386F">
        <w:rPr>
          <w:sz w:val="28"/>
        </w:rPr>
        <w:t>12</w:t>
      </w:r>
      <w:r w:rsidRPr="00F3287D">
        <w:rPr>
          <w:sz w:val="28"/>
        </w:rPr>
        <w:t>.2016</w:t>
      </w:r>
      <w:r w:rsidR="00CA386F">
        <w:rPr>
          <w:sz w:val="28"/>
        </w:rPr>
        <w:t xml:space="preserve">, </w:t>
      </w:r>
      <w:r w:rsidRPr="00F3287D">
        <w:rPr>
          <w:sz w:val="28"/>
        </w:rPr>
        <w:t>în conformitate cu prevederile art. 55 al. (5) al Legii privind  finanțele publice locale  și responsabilității bugetar-fiscale nr. 181 din 25 iulie 2014, ţinând cont de avizul pozitiv al Comisiei consultative pentru economie,  buget şi finanţe în conformitate cu prevederile art. 2</w:t>
      </w:r>
      <w:r w:rsidR="00E95529">
        <w:rPr>
          <w:sz w:val="28"/>
        </w:rPr>
        <w:t>3</w:t>
      </w:r>
      <w:r w:rsidRPr="00F3287D">
        <w:rPr>
          <w:sz w:val="28"/>
        </w:rPr>
        <w:t xml:space="preserve"> al. (1) al Legii privind finanţele publice locale nr. 397-XV din 16.10.2003, art. art. 59, 65 al Legii nr. 317 din 18.07.2003  privind actele normative ale Guvernului şi ale altor autorităţi ale administraţiei publice centrale şi locale în temeiul art. 43 al.</w:t>
      </w:r>
      <w:r w:rsidR="00BB2821">
        <w:rPr>
          <w:sz w:val="28"/>
        </w:rPr>
        <w:t xml:space="preserve"> </w:t>
      </w:r>
      <w:r w:rsidRPr="00F3287D">
        <w:rPr>
          <w:sz w:val="28"/>
        </w:rPr>
        <w:t xml:space="preserve">(1) lit. „b”, „c” al Legii  privind administraţia publică locală nr. 436-VI din 28.12.2006, Consiliul raional                       </w:t>
      </w:r>
    </w:p>
    <w:p w:rsidR="00B11AD6" w:rsidRPr="00F3287D" w:rsidRDefault="00B11AD6" w:rsidP="00B11AD6">
      <w:pPr>
        <w:tabs>
          <w:tab w:val="left" w:pos="3420"/>
        </w:tabs>
        <w:rPr>
          <w:b/>
          <w:sz w:val="28"/>
        </w:rPr>
      </w:pPr>
    </w:p>
    <w:p w:rsidR="00B11AD6" w:rsidRPr="00F3287D" w:rsidRDefault="00B11AD6" w:rsidP="00B11AD6">
      <w:pPr>
        <w:tabs>
          <w:tab w:val="left" w:pos="3420"/>
        </w:tabs>
        <w:jc w:val="center"/>
        <w:rPr>
          <w:b/>
          <w:sz w:val="28"/>
        </w:rPr>
      </w:pPr>
      <w:r w:rsidRPr="00F3287D">
        <w:rPr>
          <w:b/>
          <w:sz w:val="28"/>
        </w:rPr>
        <w:t>D E C I D E:</w:t>
      </w:r>
    </w:p>
    <w:p w:rsidR="00B11AD6" w:rsidRPr="00F3287D" w:rsidRDefault="00B11AD6" w:rsidP="00B11AD6">
      <w:pPr>
        <w:tabs>
          <w:tab w:val="left" w:pos="3420"/>
        </w:tabs>
        <w:jc w:val="both"/>
        <w:rPr>
          <w:b/>
          <w:sz w:val="28"/>
        </w:rPr>
      </w:pPr>
    </w:p>
    <w:p w:rsidR="00B11AD6" w:rsidRPr="00F3287D" w:rsidRDefault="00B11AD6" w:rsidP="00B11AD6">
      <w:pPr>
        <w:tabs>
          <w:tab w:val="left" w:pos="3420"/>
        </w:tabs>
        <w:jc w:val="both"/>
        <w:rPr>
          <w:sz w:val="28"/>
        </w:rPr>
      </w:pPr>
      <w:r w:rsidRPr="00F3287D">
        <w:rPr>
          <w:sz w:val="28"/>
        </w:rPr>
        <w:t xml:space="preserve">          1. Se ia act de informaţia prezentată de </w:t>
      </w:r>
      <w:r w:rsidR="00F3287D" w:rsidRPr="00F3287D">
        <w:rPr>
          <w:sz w:val="28"/>
        </w:rPr>
        <w:t>d-na Darii Ludmila - şef Direcţia F</w:t>
      </w:r>
      <w:r w:rsidRPr="00F3287D">
        <w:rPr>
          <w:sz w:val="28"/>
        </w:rPr>
        <w:t>inanţe privitor la mijloacele financiare aprobate în bugetul de stat pentru bugetul raional.</w:t>
      </w:r>
    </w:p>
    <w:p w:rsidR="00B11AD6" w:rsidRPr="00F3287D" w:rsidRDefault="00B11AD6" w:rsidP="00B11AD6">
      <w:pPr>
        <w:tabs>
          <w:tab w:val="left" w:pos="3420"/>
        </w:tabs>
        <w:rPr>
          <w:sz w:val="16"/>
        </w:rPr>
      </w:pPr>
    </w:p>
    <w:p w:rsidR="00B11AD6" w:rsidRPr="00F3287D" w:rsidRDefault="00B11AD6" w:rsidP="00B11AD6">
      <w:pPr>
        <w:tabs>
          <w:tab w:val="left" w:pos="3420"/>
        </w:tabs>
        <w:jc w:val="both"/>
        <w:rPr>
          <w:sz w:val="28"/>
        </w:rPr>
      </w:pPr>
      <w:r w:rsidRPr="00F3287D">
        <w:rPr>
          <w:sz w:val="28"/>
        </w:rPr>
        <w:t xml:space="preserve">           2. Se aprobă corelarea bugetul</w:t>
      </w:r>
      <w:r w:rsidR="00F3287D" w:rsidRPr="00F3287D">
        <w:rPr>
          <w:sz w:val="28"/>
        </w:rPr>
        <w:t>ui</w:t>
      </w:r>
      <w:r w:rsidRPr="00F3287D">
        <w:rPr>
          <w:sz w:val="28"/>
        </w:rPr>
        <w:t xml:space="preserve">  r</w:t>
      </w:r>
      <w:r w:rsidR="00751A19">
        <w:rPr>
          <w:sz w:val="28"/>
        </w:rPr>
        <w:t>aional aprobat prin decizia nr. 1</w:t>
      </w:r>
      <w:r w:rsidRPr="00F3287D">
        <w:rPr>
          <w:sz w:val="28"/>
        </w:rPr>
        <w:t xml:space="preserve">/1 din </w:t>
      </w:r>
      <w:r w:rsidR="00751A19">
        <w:rPr>
          <w:sz w:val="28"/>
        </w:rPr>
        <w:t>26</w:t>
      </w:r>
      <w:r w:rsidRPr="00F3287D">
        <w:rPr>
          <w:sz w:val="28"/>
        </w:rPr>
        <w:t>.</w:t>
      </w:r>
      <w:r w:rsidR="00751A19">
        <w:rPr>
          <w:sz w:val="28"/>
        </w:rPr>
        <w:t>01</w:t>
      </w:r>
      <w:r w:rsidRPr="00F3287D">
        <w:rPr>
          <w:sz w:val="28"/>
        </w:rPr>
        <w:t>.201</w:t>
      </w:r>
      <w:r w:rsidR="00751A19">
        <w:rPr>
          <w:sz w:val="28"/>
        </w:rPr>
        <w:t>7</w:t>
      </w:r>
      <w:r w:rsidR="00CA386F">
        <w:rPr>
          <w:sz w:val="28"/>
        </w:rPr>
        <w:t xml:space="preserve">, </w:t>
      </w:r>
      <w:r w:rsidRPr="00F3287D">
        <w:rPr>
          <w:sz w:val="28"/>
        </w:rPr>
        <w:t>cu bugetul de stat pentru anul 201</w:t>
      </w:r>
      <w:r w:rsidR="00CA386F">
        <w:rPr>
          <w:sz w:val="28"/>
        </w:rPr>
        <w:t>7</w:t>
      </w:r>
      <w:r w:rsidRPr="00F3287D">
        <w:rPr>
          <w:sz w:val="28"/>
        </w:rPr>
        <w:t>, după cum urmează:</w:t>
      </w:r>
    </w:p>
    <w:p w:rsidR="00B11AD6" w:rsidRDefault="00B11AD6" w:rsidP="00B11AD6">
      <w:pPr>
        <w:tabs>
          <w:tab w:val="left" w:pos="3420"/>
        </w:tabs>
        <w:jc w:val="both"/>
        <w:rPr>
          <w:sz w:val="28"/>
        </w:rPr>
      </w:pPr>
      <w:r w:rsidRPr="00F3287D">
        <w:rPr>
          <w:sz w:val="28"/>
        </w:rPr>
        <w:t xml:space="preserve">           2.1. La pct. 1. sintagma „venituri  în sumă totală de</w:t>
      </w:r>
      <w:r w:rsidR="003B1615">
        <w:rPr>
          <w:sz w:val="28"/>
        </w:rPr>
        <w:t xml:space="preserve"> </w:t>
      </w:r>
      <w:r w:rsidR="00751A19">
        <w:rPr>
          <w:sz w:val="28"/>
        </w:rPr>
        <w:t>127135, 4</w:t>
      </w:r>
      <w:r w:rsidR="00CA386F">
        <w:rPr>
          <w:sz w:val="28"/>
        </w:rPr>
        <w:t xml:space="preserve"> </w:t>
      </w:r>
      <w:r w:rsidR="003B1615" w:rsidRPr="00F3287D">
        <w:rPr>
          <w:sz w:val="28"/>
        </w:rPr>
        <w:t>mii lei</w:t>
      </w:r>
      <w:r w:rsidRPr="00F3287D">
        <w:rPr>
          <w:sz w:val="28"/>
        </w:rPr>
        <w:t>” se substituie cu sintagma „venituri în sumă totală de</w:t>
      </w:r>
      <w:r w:rsidR="003B1615">
        <w:rPr>
          <w:sz w:val="28"/>
        </w:rPr>
        <w:t xml:space="preserve"> </w:t>
      </w:r>
      <w:r w:rsidR="00EA24F4">
        <w:rPr>
          <w:sz w:val="28"/>
        </w:rPr>
        <w:t>133652,0</w:t>
      </w:r>
      <w:r w:rsidR="003B1615">
        <w:rPr>
          <w:sz w:val="28"/>
        </w:rPr>
        <w:t xml:space="preserve"> mii lei</w:t>
      </w:r>
      <w:r w:rsidRPr="00F3287D">
        <w:rPr>
          <w:sz w:val="28"/>
        </w:rPr>
        <w:t xml:space="preserve">” şi  sintagma „cheltuieli în sumă totală de </w:t>
      </w:r>
      <w:r w:rsidR="00751A19">
        <w:rPr>
          <w:sz w:val="28"/>
        </w:rPr>
        <w:t>127135,4</w:t>
      </w:r>
      <w:r w:rsidR="00817B94">
        <w:rPr>
          <w:sz w:val="28"/>
        </w:rPr>
        <w:t xml:space="preserve"> </w:t>
      </w:r>
      <w:r w:rsidRPr="00F3287D">
        <w:rPr>
          <w:sz w:val="28"/>
        </w:rPr>
        <w:t xml:space="preserve">mii lei” se substituie  cu sintagma „cheltuieli în sumă totală de </w:t>
      </w:r>
      <w:r w:rsidR="00EA24F4">
        <w:rPr>
          <w:sz w:val="28"/>
        </w:rPr>
        <w:t>133652,0</w:t>
      </w:r>
      <w:r w:rsidR="00817B94">
        <w:rPr>
          <w:sz w:val="28"/>
        </w:rPr>
        <w:t xml:space="preserve"> </w:t>
      </w:r>
      <w:r w:rsidRPr="00F3287D">
        <w:rPr>
          <w:sz w:val="28"/>
        </w:rPr>
        <w:t xml:space="preserve">mii lei” </w:t>
      </w:r>
    </w:p>
    <w:p w:rsidR="00EA24F4" w:rsidRDefault="00EA24F4" w:rsidP="00EA24F4">
      <w:pPr>
        <w:tabs>
          <w:tab w:val="left" w:pos="709"/>
        </w:tabs>
        <w:jc w:val="both"/>
        <w:rPr>
          <w:sz w:val="28"/>
        </w:rPr>
      </w:pPr>
      <w:r>
        <w:rPr>
          <w:sz w:val="28"/>
        </w:rPr>
        <w:tab/>
        <w:t>2.2.  Corelarea prevăzută la punctul 2.1, se efectuează din contul:</w:t>
      </w:r>
    </w:p>
    <w:p w:rsidR="00EA24F4" w:rsidRDefault="00EA24F4" w:rsidP="00EA24F4">
      <w:pPr>
        <w:tabs>
          <w:tab w:val="left" w:pos="709"/>
        </w:tabs>
        <w:jc w:val="both"/>
        <w:rPr>
          <w:sz w:val="28"/>
        </w:rPr>
      </w:pPr>
      <w:r>
        <w:rPr>
          <w:sz w:val="28"/>
        </w:rPr>
        <w:t>a. majorării bugetului raional la capitolul ”</w:t>
      </w:r>
      <w:r w:rsidRPr="00EA24F4">
        <w:rPr>
          <w:sz w:val="28"/>
        </w:rPr>
        <w:t xml:space="preserve"> </w:t>
      </w:r>
      <w:r>
        <w:rPr>
          <w:sz w:val="28"/>
        </w:rPr>
        <w:t>Transferuri cu destinație specială pentru infrastructura drumurilor publice locale” cu 9616,6 mii lei;</w:t>
      </w:r>
    </w:p>
    <w:p w:rsidR="00EA24F4" w:rsidRDefault="00EA24F4" w:rsidP="00EA24F4">
      <w:pPr>
        <w:tabs>
          <w:tab w:val="left" w:pos="709"/>
        </w:tabs>
        <w:jc w:val="both"/>
        <w:rPr>
          <w:sz w:val="28"/>
        </w:rPr>
      </w:pPr>
      <w:r>
        <w:rPr>
          <w:sz w:val="28"/>
        </w:rPr>
        <w:t>b. micșorării bugetului raional la capitolul ”Taxa pentru folosirea drumurilor de către autovehiculele înmatriculate în Republica Moldova” se diminuează cu 3100,0 mii lei</w:t>
      </w:r>
    </w:p>
    <w:p w:rsidR="00EA24F4" w:rsidRPr="00F3287D" w:rsidRDefault="00EA24F4" w:rsidP="00B11AD6">
      <w:pPr>
        <w:tabs>
          <w:tab w:val="left" w:pos="3420"/>
        </w:tabs>
        <w:jc w:val="both"/>
        <w:rPr>
          <w:sz w:val="28"/>
        </w:rPr>
      </w:pPr>
    </w:p>
    <w:p w:rsidR="00B11AD6" w:rsidRPr="00F3287D" w:rsidRDefault="00B11AD6" w:rsidP="00B11AD6">
      <w:pPr>
        <w:tabs>
          <w:tab w:val="left" w:pos="3420"/>
        </w:tabs>
        <w:jc w:val="both"/>
        <w:rPr>
          <w:sz w:val="28"/>
        </w:rPr>
      </w:pPr>
    </w:p>
    <w:p w:rsidR="00FA7650" w:rsidRDefault="00B11AD6" w:rsidP="00B11AD6">
      <w:pPr>
        <w:tabs>
          <w:tab w:val="left" w:pos="3420"/>
        </w:tabs>
        <w:jc w:val="both"/>
        <w:rPr>
          <w:sz w:val="28"/>
        </w:rPr>
      </w:pPr>
      <w:r w:rsidRPr="00F3287D">
        <w:rPr>
          <w:sz w:val="28"/>
        </w:rPr>
        <w:lastRenderedPageBreak/>
        <w:t xml:space="preserve">         </w:t>
      </w:r>
    </w:p>
    <w:p w:rsidR="00B11AD6" w:rsidRPr="00F3287D" w:rsidRDefault="00B11AD6" w:rsidP="00B11AD6">
      <w:pPr>
        <w:tabs>
          <w:tab w:val="left" w:pos="3420"/>
        </w:tabs>
        <w:jc w:val="both"/>
        <w:rPr>
          <w:sz w:val="28"/>
        </w:rPr>
      </w:pPr>
      <w:r w:rsidRPr="00F3287D">
        <w:rPr>
          <w:sz w:val="28"/>
        </w:rPr>
        <w:t xml:space="preserve"> 2.3. Se aprobă anexele nr. 1; 2; </w:t>
      </w:r>
      <w:r w:rsidR="00714EA5">
        <w:rPr>
          <w:sz w:val="28"/>
        </w:rPr>
        <w:t>3</w:t>
      </w:r>
      <w:r w:rsidRPr="00F3287D">
        <w:rPr>
          <w:sz w:val="28"/>
        </w:rPr>
        <w:t xml:space="preserve">; ale Deciziei </w:t>
      </w:r>
      <w:r w:rsidR="001B0CCC">
        <w:rPr>
          <w:sz w:val="28"/>
        </w:rPr>
        <w:t>curente</w:t>
      </w:r>
      <w:r w:rsidR="00714EA5">
        <w:rPr>
          <w:sz w:val="28"/>
        </w:rPr>
        <w:t xml:space="preserve">, </w:t>
      </w:r>
      <w:r w:rsidRPr="00F3287D">
        <w:rPr>
          <w:sz w:val="28"/>
        </w:rPr>
        <w:t>în redacție nouă, conform anexelor prezentei decizii.</w:t>
      </w:r>
    </w:p>
    <w:p w:rsidR="00B11AD6" w:rsidRPr="00F3287D" w:rsidRDefault="00B11AD6" w:rsidP="00B11AD6">
      <w:pPr>
        <w:tabs>
          <w:tab w:val="left" w:pos="3420"/>
        </w:tabs>
        <w:jc w:val="both"/>
        <w:rPr>
          <w:sz w:val="28"/>
        </w:rPr>
      </w:pPr>
      <w:r w:rsidRPr="00F3287D">
        <w:rPr>
          <w:sz w:val="28"/>
        </w:rPr>
        <w:t xml:space="preserve">          </w:t>
      </w:r>
    </w:p>
    <w:p w:rsidR="00B11AD6" w:rsidRDefault="00B11AD6" w:rsidP="00B11AD6">
      <w:pPr>
        <w:tabs>
          <w:tab w:val="left" w:pos="3420"/>
        </w:tabs>
        <w:jc w:val="both"/>
        <w:rPr>
          <w:sz w:val="28"/>
        </w:rPr>
      </w:pPr>
      <w:r w:rsidRPr="00F3287D">
        <w:rPr>
          <w:sz w:val="28"/>
        </w:rPr>
        <w:t xml:space="preserve">           3. Se abrogă anexele 1; 2; </w:t>
      </w:r>
      <w:r w:rsidR="00714EA5">
        <w:rPr>
          <w:sz w:val="28"/>
        </w:rPr>
        <w:t>3</w:t>
      </w:r>
      <w:r w:rsidRPr="00F3287D">
        <w:rPr>
          <w:sz w:val="28"/>
        </w:rPr>
        <w:t xml:space="preserve">; </w:t>
      </w:r>
      <w:r w:rsidR="00714EA5">
        <w:rPr>
          <w:sz w:val="28"/>
        </w:rPr>
        <w:t xml:space="preserve"> </w:t>
      </w:r>
      <w:r w:rsidRPr="00F3287D">
        <w:rPr>
          <w:sz w:val="28"/>
        </w:rPr>
        <w:t xml:space="preserve">a Deciziei nr. </w:t>
      </w:r>
      <w:r w:rsidR="001B0CCC">
        <w:rPr>
          <w:sz w:val="28"/>
        </w:rPr>
        <w:t>1</w:t>
      </w:r>
      <w:r w:rsidRPr="00F3287D">
        <w:rPr>
          <w:sz w:val="28"/>
        </w:rPr>
        <w:t xml:space="preserve">/1 din </w:t>
      </w:r>
      <w:r w:rsidR="001B0CCC">
        <w:rPr>
          <w:sz w:val="28"/>
        </w:rPr>
        <w:t>26 ianuarie</w:t>
      </w:r>
      <w:r w:rsidRPr="00F3287D">
        <w:rPr>
          <w:sz w:val="28"/>
        </w:rPr>
        <w:t xml:space="preserve"> 201</w:t>
      </w:r>
      <w:r w:rsidR="001B0CCC">
        <w:rPr>
          <w:sz w:val="28"/>
        </w:rPr>
        <w:t>7</w:t>
      </w:r>
      <w:r w:rsidR="00596887">
        <w:rPr>
          <w:sz w:val="28"/>
        </w:rPr>
        <w:t xml:space="preserve"> ”C</w:t>
      </w:r>
      <w:r w:rsidRPr="00F3287D">
        <w:rPr>
          <w:sz w:val="28"/>
        </w:rPr>
        <w:t xml:space="preserve">u privire la </w:t>
      </w:r>
      <w:r w:rsidR="00596887">
        <w:rPr>
          <w:sz w:val="28"/>
        </w:rPr>
        <w:t>corelarea</w:t>
      </w:r>
      <w:r w:rsidRPr="00F3287D">
        <w:rPr>
          <w:sz w:val="28"/>
        </w:rPr>
        <w:t xml:space="preserve"> bugetului raional pentru anul 201</w:t>
      </w:r>
      <w:r w:rsidR="00714EA5">
        <w:rPr>
          <w:sz w:val="28"/>
        </w:rPr>
        <w:t>7</w:t>
      </w:r>
      <w:r w:rsidR="00596887">
        <w:rPr>
          <w:sz w:val="28"/>
        </w:rPr>
        <w:t>”</w:t>
      </w:r>
      <w:r w:rsidRPr="00F3287D">
        <w:rPr>
          <w:sz w:val="28"/>
        </w:rPr>
        <w:t xml:space="preserve"> </w:t>
      </w:r>
      <w:r w:rsidR="00596887">
        <w:rPr>
          <w:sz w:val="28"/>
        </w:rPr>
        <w:t>.</w:t>
      </w:r>
    </w:p>
    <w:p w:rsidR="009F3D34" w:rsidRDefault="009F3D34" w:rsidP="00B11AD6">
      <w:pPr>
        <w:tabs>
          <w:tab w:val="left" w:pos="3420"/>
        </w:tabs>
        <w:jc w:val="both"/>
        <w:rPr>
          <w:sz w:val="28"/>
        </w:rPr>
      </w:pPr>
    </w:p>
    <w:p w:rsidR="009F3D34" w:rsidRDefault="009F3D34" w:rsidP="009F3D34">
      <w:pPr>
        <w:tabs>
          <w:tab w:val="left" w:pos="709"/>
        </w:tabs>
        <w:jc w:val="both"/>
        <w:rPr>
          <w:sz w:val="28"/>
        </w:rPr>
      </w:pPr>
      <w:r>
        <w:rPr>
          <w:sz w:val="28"/>
        </w:rPr>
        <w:tab/>
        <w:t>4. Se rectifică, ca urmare a admiterii unei erori tehnice, poziția 86 din tabelul anexei nr. 7  al Deciziei</w:t>
      </w:r>
      <w:r w:rsidRPr="00F3287D">
        <w:rPr>
          <w:sz w:val="28"/>
        </w:rPr>
        <w:t xml:space="preserve"> nr. </w:t>
      </w:r>
      <w:r>
        <w:rPr>
          <w:sz w:val="28"/>
        </w:rPr>
        <w:t>7</w:t>
      </w:r>
      <w:r w:rsidRPr="00F3287D">
        <w:rPr>
          <w:sz w:val="28"/>
        </w:rPr>
        <w:t xml:space="preserve">/1 din </w:t>
      </w:r>
      <w:r>
        <w:rPr>
          <w:sz w:val="28"/>
        </w:rPr>
        <w:t>08.12.</w:t>
      </w:r>
      <w:r w:rsidRPr="00F3287D">
        <w:rPr>
          <w:sz w:val="28"/>
        </w:rPr>
        <w:t>201</w:t>
      </w:r>
      <w:r>
        <w:rPr>
          <w:sz w:val="28"/>
        </w:rPr>
        <w:t>6</w:t>
      </w:r>
      <w:r w:rsidRPr="00F3287D">
        <w:rPr>
          <w:sz w:val="28"/>
        </w:rPr>
        <w:t xml:space="preserve"> cu privire la aprobarea bugetului raional pentru anul 201</w:t>
      </w:r>
      <w:r>
        <w:rPr>
          <w:sz w:val="28"/>
        </w:rPr>
        <w:t>7</w:t>
      </w:r>
      <w:r w:rsidRPr="00F3287D">
        <w:rPr>
          <w:sz w:val="28"/>
        </w:rPr>
        <w:t xml:space="preserve"> (II lectură)</w:t>
      </w:r>
      <w:r>
        <w:rPr>
          <w:sz w:val="28"/>
        </w:rPr>
        <w:t xml:space="preserve"> aprobată inițial în forma:</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9"/>
        <w:gridCol w:w="6521"/>
        <w:gridCol w:w="1000"/>
        <w:gridCol w:w="1553"/>
      </w:tblGrid>
      <w:tr w:rsidR="009F3D34" w:rsidRPr="00046668" w:rsidTr="00137D41">
        <w:trPr>
          <w:trHeight w:val="690"/>
        </w:trPr>
        <w:tc>
          <w:tcPr>
            <w:tcW w:w="709" w:type="dxa"/>
            <w:vAlign w:val="center"/>
          </w:tcPr>
          <w:p w:rsidR="009F3D34" w:rsidRPr="00046668" w:rsidRDefault="009F3D34" w:rsidP="00137D41">
            <w:pPr>
              <w:jc w:val="center"/>
              <w:rPr>
                <w:b/>
              </w:rPr>
            </w:pPr>
            <w:r w:rsidRPr="00046668">
              <w:rPr>
                <w:b/>
              </w:rPr>
              <w:t>Nr. d/o</w:t>
            </w:r>
          </w:p>
        </w:tc>
        <w:tc>
          <w:tcPr>
            <w:tcW w:w="6521" w:type="dxa"/>
            <w:vAlign w:val="center"/>
          </w:tcPr>
          <w:p w:rsidR="009F3D34" w:rsidRPr="00046668" w:rsidRDefault="009F3D34" w:rsidP="00137D41">
            <w:pPr>
              <w:jc w:val="center"/>
              <w:rPr>
                <w:b/>
              </w:rPr>
            </w:pPr>
          </w:p>
          <w:p w:rsidR="009F3D34" w:rsidRPr="00046668" w:rsidRDefault="009F3D34" w:rsidP="00137D41">
            <w:pPr>
              <w:jc w:val="center"/>
              <w:rPr>
                <w:b/>
              </w:rPr>
            </w:pPr>
            <w:r w:rsidRPr="00046668">
              <w:rPr>
                <w:b/>
              </w:rPr>
              <w:t>D e n u m i r e a</w:t>
            </w:r>
          </w:p>
        </w:tc>
        <w:tc>
          <w:tcPr>
            <w:tcW w:w="1000" w:type="dxa"/>
            <w:vAlign w:val="center"/>
          </w:tcPr>
          <w:p w:rsidR="009F3D34" w:rsidRPr="00046668" w:rsidRDefault="009F3D34" w:rsidP="00137D41">
            <w:pPr>
              <w:jc w:val="center"/>
              <w:rPr>
                <w:b/>
              </w:rPr>
            </w:pPr>
            <w:r w:rsidRPr="00046668">
              <w:rPr>
                <w:b/>
              </w:rPr>
              <w:t>Cod</w:t>
            </w:r>
          </w:p>
          <w:p w:rsidR="009F3D34" w:rsidRPr="00046668" w:rsidRDefault="009F3D34" w:rsidP="00137D41">
            <w:pPr>
              <w:jc w:val="center"/>
              <w:rPr>
                <w:b/>
              </w:rPr>
            </w:pPr>
            <w:proofErr w:type="spellStart"/>
            <w:r w:rsidRPr="00046668">
              <w:rPr>
                <w:b/>
              </w:rPr>
              <w:t>Org</w:t>
            </w:r>
            <w:proofErr w:type="spellEnd"/>
            <w:r w:rsidRPr="00046668">
              <w:rPr>
                <w:b/>
              </w:rPr>
              <w:t xml:space="preserve"> 1</w:t>
            </w:r>
          </w:p>
          <w:p w:rsidR="009F3D34" w:rsidRPr="00046668" w:rsidRDefault="009F3D34" w:rsidP="00137D41">
            <w:pPr>
              <w:jc w:val="center"/>
              <w:rPr>
                <w:b/>
              </w:rPr>
            </w:pPr>
            <w:proofErr w:type="spellStart"/>
            <w:r w:rsidRPr="00046668">
              <w:rPr>
                <w:b/>
              </w:rPr>
              <w:t>Org</w:t>
            </w:r>
            <w:proofErr w:type="spellEnd"/>
            <w:r w:rsidRPr="00046668">
              <w:rPr>
                <w:b/>
              </w:rPr>
              <w:t xml:space="preserve"> 2</w:t>
            </w:r>
          </w:p>
        </w:tc>
        <w:tc>
          <w:tcPr>
            <w:tcW w:w="1553" w:type="dxa"/>
            <w:vAlign w:val="center"/>
          </w:tcPr>
          <w:p w:rsidR="009F3D34" w:rsidRPr="00046668" w:rsidRDefault="009F3D34" w:rsidP="00137D41">
            <w:pPr>
              <w:jc w:val="center"/>
              <w:rPr>
                <w:b/>
              </w:rPr>
            </w:pPr>
            <w:r w:rsidRPr="00046668">
              <w:rPr>
                <w:b/>
              </w:rPr>
              <w:t>Efectivul de personal, unități</w:t>
            </w:r>
          </w:p>
        </w:tc>
      </w:tr>
      <w:tr w:rsidR="009F3D34" w:rsidRPr="00046668" w:rsidTr="00137D41">
        <w:tc>
          <w:tcPr>
            <w:tcW w:w="709" w:type="dxa"/>
            <w:vAlign w:val="center"/>
          </w:tcPr>
          <w:p w:rsidR="009F3D34" w:rsidRPr="00DC0C5F" w:rsidRDefault="009F3D34" w:rsidP="00137D41">
            <w:pPr>
              <w:ind w:left="142"/>
            </w:pPr>
            <w:r>
              <w:t>86</w:t>
            </w:r>
          </w:p>
        </w:tc>
        <w:tc>
          <w:tcPr>
            <w:tcW w:w="6521" w:type="dxa"/>
          </w:tcPr>
          <w:p w:rsidR="009F3D34" w:rsidRPr="00046668" w:rsidRDefault="009F3D34" w:rsidP="00137D41">
            <w:r>
              <w:t xml:space="preserve">Serviciul de asistență </w:t>
            </w:r>
            <w:proofErr w:type="spellStart"/>
            <w:r>
              <w:t>parientală</w:t>
            </w:r>
            <w:proofErr w:type="spellEnd"/>
            <w:r>
              <w:t xml:space="preserve"> profesionistă </w:t>
            </w:r>
            <w:proofErr w:type="spellStart"/>
            <w:r>
              <w:t>Brînzenii</w:t>
            </w:r>
            <w:proofErr w:type="spellEnd"/>
            <w:r>
              <w:t xml:space="preserve"> Noi, </w:t>
            </w:r>
            <w:proofErr w:type="spellStart"/>
            <w:r>
              <w:t>Comerzan</w:t>
            </w:r>
            <w:proofErr w:type="spellEnd"/>
            <w:r>
              <w:t xml:space="preserve"> Angela</w:t>
            </w:r>
          </w:p>
        </w:tc>
        <w:tc>
          <w:tcPr>
            <w:tcW w:w="1000" w:type="dxa"/>
            <w:vAlign w:val="center"/>
          </w:tcPr>
          <w:p w:rsidR="009F3D34" w:rsidRPr="00046668" w:rsidRDefault="009F3D34" w:rsidP="00137D41">
            <w:pPr>
              <w:jc w:val="center"/>
            </w:pPr>
            <w:r>
              <w:t>14807</w:t>
            </w:r>
          </w:p>
        </w:tc>
        <w:tc>
          <w:tcPr>
            <w:tcW w:w="1553" w:type="dxa"/>
            <w:vAlign w:val="center"/>
          </w:tcPr>
          <w:p w:rsidR="009F3D34" w:rsidRPr="00046668" w:rsidRDefault="009F3D34" w:rsidP="00137D41">
            <w:pPr>
              <w:jc w:val="center"/>
            </w:pPr>
            <w:r>
              <w:t>0,75</w:t>
            </w:r>
          </w:p>
        </w:tc>
      </w:tr>
    </w:tbl>
    <w:p w:rsidR="009F3D34" w:rsidRDefault="009F3D34" w:rsidP="009F3D34">
      <w:pPr>
        <w:tabs>
          <w:tab w:val="left" w:pos="3420"/>
        </w:tabs>
        <w:jc w:val="both"/>
        <w:rPr>
          <w:sz w:val="28"/>
        </w:rPr>
      </w:pPr>
      <w:r>
        <w:rPr>
          <w:sz w:val="28"/>
        </w:rPr>
        <w:t>și va avea următorul conținut:</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9"/>
        <w:gridCol w:w="6521"/>
        <w:gridCol w:w="1000"/>
        <w:gridCol w:w="1553"/>
      </w:tblGrid>
      <w:tr w:rsidR="009F3D34" w:rsidRPr="00046668" w:rsidTr="00137D41">
        <w:trPr>
          <w:trHeight w:val="690"/>
        </w:trPr>
        <w:tc>
          <w:tcPr>
            <w:tcW w:w="709" w:type="dxa"/>
            <w:vAlign w:val="center"/>
          </w:tcPr>
          <w:p w:rsidR="009F3D34" w:rsidRPr="00046668" w:rsidRDefault="009F3D34" w:rsidP="00137D41">
            <w:pPr>
              <w:jc w:val="center"/>
              <w:rPr>
                <w:b/>
              </w:rPr>
            </w:pPr>
            <w:r w:rsidRPr="00046668">
              <w:rPr>
                <w:b/>
              </w:rPr>
              <w:t>Nr. d/o</w:t>
            </w:r>
          </w:p>
        </w:tc>
        <w:tc>
          <w:tcPr>
            <w:tcW w:w="6521" w:type="dxa"/>
            <w:vAlign w:val="center"/>
          </w:tcPr>
          <w:p w:rsidR="009F3D34" w:rsidRPr="00046668" w:rsidRDefault="009F3D34" w:rsidP="00137D41">
            <w:pPr>
              <w:jc w:val="center"/>
              <w:rPr>
                <w:b/>
              </w:rPr>
            </w:pPr>
          </w:p>
          <w:p w:rsidR="009F3D34" w:rsidRPr="00046668" w:rsidRDefault="009F3D34" w:rsidP="00137D41">
            <w:pPr>
              <w:jc w:val="center"/>
              <w:rPr>
                <w:b/>
              </w:rPr>
            </w:pPr>
            <w:r w:rsidRPr="00046668">
              <w:rPr>
                <w:b/>
              </w:rPr>
              <w:t>D e n u m i r e a</w:t>
            </w:r>
          </w:p>
        </w:tc>
        <w:tc>
          <w:tcPr>
            <w:tcW w:w="1000" w:type="dxa"/>
            <w:vAlign w:val="center"/>
          </w:tcPr>
          <w:p w:rsidR="009F3D34" w:rsidRPr="00046668" w:rsidRDefault="009F3D34" w:rsidP="00137D41">
            <w:pPr>
              <w:jc w:val="center"/>
              <w:rPr>
                <w:b/>
              </w:rPr>
            </w:pPr>
            <w:r w:rsidRPr="00046668">
              <w:rPr>
                <w:b/>
              </w:rPr>
              <w:t>Cod</w:t>
            </w:r>
          </w:p>
          <w:p w:rsidR="009F3D34" w:rsidRPr="00046668" w:rsidRDefault="009F3D34" w:rsidP="00137D41">
            <w:pPr>
              <w:jc w:val="center"/>
              <w:rPr>
                <w:b/>
              </w:rPr>
            </w:pPr>
            <w:proofErr w:type="spellStart"/>
            <w:r w:rsidRPr="00046668">
              <w:rPr>
                <w:b/>
              </w:rPr>
              <w:t>Org</w:t>
            </w:r>
            <w:proofErr w:type="spellEnd"/>
            <w:r w:rsidRPr="00046668">
              <w:rPr>
                <w:b/>
              </w:rPr>
              <w:t xml:space="preserve"> 1</w:t>
            </w:r>
          </w:p>
          <w:p w:rsidR="009F3D34" w:rsidRPr="00046668" w:rsidRDefault="009F3D34" w:rsidP="00137D41">
            <w:pPr>
              <w:jc w:val="center"/>
              <w:rPr>
                <w:b/>
              </w:rPr>
            </w:pPr>
            <w:proofErr w:type="spellStart"/>
            <w:r w:rsidRPr="00046668">
              <w:rPr>
                <w:b/>
              </w:rPr>
              <w:t>Org</w:t>
            </w:r>
            <w:proofErr w:type="spellEnd"/>
            <w:r w:rsidRPr="00046668">
              <w:rPr>
                <w:b/>
              </w:rPr>
              <w:t xml:space="preserve"> 2</w:t>
            </w:r>
          </w:p>
        </w:tc>
        <w:tc>
          <w:tcPr>
            <w:tcW w:w="1553" w:type="dxa"/>
            <w:vAlign w:val="center"/>
          </w:tcPr>
          <w:p w:rsidR="009F3D34" w:rsidRPr="00046668" w:rsidRDefault="009F3D34" w:rsidP="00137D41">
            <w:pPr>
              <w:jc w:val="center"/>
              <w:rPr>
                <w:b/>
              </w:rPr>
            </w:pPr>
            <w:r w:rsidRPr="00046668">
              <w:rPr>
                <w:b/>
              </w:rPr>
              <w:t>Efectivul de personal, unități</w:t>
            </w:r>
          </w:p>
        </w:tc>
      </w:tr>
      <w:tr w:rsidR="009F3D34" w:rsidRPr="00046668" w:rsidTr="00137D41">
        <w:tc>
          <w:tcPr>
            <w:tcW w:w="709" w:type="dxa"/>
            <w:vAlign w:val="center"/>
          </w:tcPr>
          <w:p w:rsidR="009F3D34" w:rsidRPr="00DC0C5F" w:rsidRDefault="009F3D34" w:rsidP="00137D41">
            <w:pPr>
              <w:ind w:left="142"/>
            </w:pPr>
            <w:r>
              <w:t>86</w:t>
            </w:r>
          </w:p>
        </w:tc>
        <w:tc>
          <w:tcPr>
            <w:tcW w:w="6521" w:type="dxa"/>
          </w:tcPr>
          <w:p w:rsidR="009F3D34" w:rsidRPr="00046668" w:rsidRDefault="009F3D34" w:rsidP="00137D41">
            <w:r>
              <w:t xml:space="preserve">Serviciul de asistență </w:t>
            </w:r>
            <w:proofErr w:type="spellStart"/>
            <w:r>
              <w:t>parientală</w:t>
            </w:r>
            <w:proofErr w:type="spellEnd"/>
            <w:r>
              <w:t xml:space="preserve"> profesionistă </w:t>
            </w:r>
            <w:proofErr w:type="spellStart"/>
            <w:r>
              <w:t>Brînzenii</w:t>
            </w:r>
            <w:proofErr w:type="spellEnd"/>
            <w:r>
              <w:t xml:space="preserve"> Noi, </w:t>
            </w:r>
            <w:proofErr w:type="spellStart"/>
            <w:r>
              <w:t>Comerzan</w:t>
            </w:r>
            <w:proofErr w:type="spellEnd"/>
            <w:r>
              <w:t xml:space="preserve"> Angela</w:t>
            </w:r>
          </w:p>
        </w:tc>
        <w:tc>
          <w:tcPr>
            <w:tcW w:w="1000" w:type="dxa"/>
            <w:vAlign w:val="center"/>
          </w:tcPr>
          <w:p w:rsidR="009F3D34" w:rsidRPr="00046668" w:rsidRDefault="009F3D34" w:rsidP="00137D41">
            <w:pPr>
              <w:jc w:val="center"/>
            </w:pPr>
            <w:r>
              <w:t>14807</w:t>
            </w:r>
          </w:p>
        </w:tc>
        <w:tc>
          <w:tcPr>
            <w:tcW w:w="1553" w:type="dxa"/>
            <w:vAlign w:val="center"/>
          </w:tcPr>
          <w:p w:rsidR="009F3D34" w:rsidRPr="00046668" w:rsidRDefault="009F3D34" w:rsidP="00137D41">
            <w:pPr>
              <w:jc w:val="center"/>
            </w:pPr>
            <w:r>
              <w:t>1,0</w:t>
            </w:r>
          </w:p>
        </w:tc>
      </w:tr>
    </w:tbl>
    <w:p w:rsidR="009F3D34" w:rsidRPr="00F3287D" w:rsidRDefault="009F3D34" w:rsidP="00B11AD6">
      <w:pPr>
        <w:tabs>
          <w:tab w:val="left" w:pos="3420"/>
        </w:tabs>
        <w:jc w:val="both"/>
        <w:rPr>
          <w:sz w:val="28"/>
        </w:rPr>
      </w:pPr>
    </w:p>
    <w:p w:rsidR="00B11AD6" w:rsidRPr="00F3287D" w:rsidRDefault="00B11AD6" w:rsidP="00B11AD6">
      <w:pPr>
        <w:tabs>
          <w:tab w:val="left" w:pos="3420"/>
        </w:tabs>
        <w:jc w:val="both"/>
        <w:rPr>
          <w:sz w:val="28"/>
        </w:rPr>
      </w:pPr>
      <w:r w:rsidRPr="00F3287D">
        <w:rPr>
          <w:sz w:val="28"/>
        </w:rPr>
        <w:t xml:space="preserve">           </w:t>
      </w:r>
      <w:r w:rsidR="009F3D34">
        <w:rPr>
          <w:sz w:val="28"/>
        </w:rPr>
        <w:t>5</w:t>
      </w:r>
      <w:r w:rsidRPr="00F3287D">
        <w:rPr>
          <w:sz w:val="28"/>
        </w:rPr>
        <w:t xml:space="preserve">. Executarea prezentei Deciziei se pune în sarcina </w:t>
      </w:r>
      <w:r w:rsidR="005937A4" w:rsidRPr="005937A4">
        <w:rPr>
          <w:sz w:val="28"/>
        </w:rPr>
        <w:t>șe</w:t>
      </w:r>
      <w:r w:rsidRPr="005937A4">
        <w:rPr>
          <w:sz w:val="28"/>
        </w:rPr>
        <w:t>f</w:t>
      </w:r>
      <w:r w:rsidRPr="00F3287D">
        <w:rPr>
          <w:sz w:val="28"/>
        </w:rPr>
        <w:t>ului Direcţiei finanţe.</w:t>
      </w:r>
    </w:p>
    <w:p w:rsidR="00B11AD6" w:rsidRPr="00F3287D" w:rsidRDefault="00B11AD6" w:rsidP="00B11AD6">
      <w:pPr>
        <w:tabs>
          <w:tab w:val="left" w:pos="3420"/>
        </w:tabs>
        <w:jc w:val="both"/>
        <w:rPr>
          <w:sz w:val="28"/>
        </w:rPr>
      </w:pPr>
    </w:p>
    <w:p w:rsidR="00B11AD6" w:rsidRPr="00F3287D" w:rsidRDefault="00B11AD6" w:rsidP="00B11AD6">
      <w:pPr>
        <w:tabs>
          <w:tab w:val="left" w:pos="3420"/>
        </w:tabs>
        <w:jc w:val="both"/>
        <w:rPr>
          <w:sz w:val="28"/>
        </w:rPr>
      </w:pPr>
      <w:r w:rsidRPr="00F3287D">
        <w:rPr>
          <w:sz w:val="28"/>
        </w:rPr>
        <w:t xml:space="preserve">           </w:t>
      </w:r>
      <w:r w:rsidR="009F3D34">
        <w:rPr>
          <w:sz w:val="28"/>
        </w:rPr>
        <w:t>6</w:t>
      </w:r>
      <w:r w:rsidRPr="00F3287D">
        <w:rPr>
          <w:sz w:val="28"/>
        </w:rPr>
        <w:t xml:space="preserve">. Controlul asupra executării prezentei decizii se pune în sarcina </w:t>
      </w:r>
      <w:r w:rsidR="00C332A8">
        <w:rPr>
          <w:sz w:val="28"/>
        </w:rPr>
        <w:t>c</w:t>
      </w:r>
      <w:r w:rsidRPr="00F3287D">
        <w:rPr>
          <w:sz w:val="28"/>
        </w:rPr>
        <w:t xml:space="preserve">omisiei consultative pentru </w:t>
      </w:r>
      <w:r w:rsidR="00C332A8">
        <w:rPr>
          <w:sz w:val="28"/>
        </w:rPr>
        <w:t>e</w:t>
      </w:r>
      <w:r w:rsidRPr="00F3287D">
        <w:rPr>
          <w:sz w:val="28"/>
        </w:rPr>
        <w:t xml:space="preserve">conomie, </w:t>
      </w:r>
      <w:r w:rsidR="00C332A8">
        <w:rPr>
          <w:sz w:val="28"/>
        </w:rPr>
        <w:t>f</w:t>
      </w:r>
      <w:r w:rsidRPr="00F3287D">
        <w:rPr>
          <w:sz w:val="28"/>
        </w:rPr>
        <w:t xml:space="preserve">inanţe şi </w:t>
      </w:r>
      <w:r w:rsidR="00C332A8">
        <w:rPr>
          <w:sz w:val="28"/>
        </w:rPr>
        <w:t>b</w:t>
      </w:r>
      <w:r w:rsidRPr="00F3287D">
        <w:rPr>
          <w:sz w:val="28"/>
        </w:rPr>
        <w:t>uget şi Preşedintelui raionului.</w:t>
      </w:r>
    </w:p>
    <w:p w:rsidR="00B11AD6" w:rsidRPr="00F3287D" w:rsidRDefault="00B11AD6" w:rsidP="00B11AD6">
      <w:pPr>
        <w:tabs>
          <w:tab w:val="left" w:pos="3420"/>
        </w:tabs>
        <w:rPr>
          <w:b/>
          <w:sz w:val="28"/>
        </w:rPr>
      </w:pPr>
      <w:r w:rsidRPr="00F3287D">
        <w:rPr>
          <w:b/>
          <w:sz w:val="28"/>
        </w:rPr>
        <w:t xml:space="preserve"> </w:t>
      </w:r>
    </w:p>
    <w:p w:rsidR="00B11AD6" w:rsidRPr="00F3287D" w:rsidRDefault="00B11AD6" w:rsidP="00B11AD6">
      <w:pPr>
        <w:jc w:val="both"/>
        <w:rPr>
          <w:sz w:val="28"/>
        </w:rPr>
      </w:pPr>
      <w:r w:rsidRPr="00F3287D">
        <w:rPr>
          <w:sz w:val="28"/>
        </w:rPr>
        <w:t xml:space="preserve">          </w:t>
      </w:r>
      <w:r w:rsidR="009F3D34">
        <w:rPr>
          <w:sz w:val="28"/>
        </w:rPr>
        <w:t>7</w:t>
      </w:r>
      <w:r w:rsidRPr="00F3287D">
        <w:rPr>
          <w:sz w:val="28"/>
        </w:rPr>
        <w:t xml:space="preserve">. Prezenta decizie urmează a fi adusă la cunoştinţa persoanelor vizate şi intră în vigoare la data publicării pe site-ul oficial al Consiliului raional </w:t>
      </w:r>
      <w:hyperlink r:id="rId12" w:history="1">
        <w:r w:rsidRPr="00F3287D">
          <w:rPr>
            <w:color w:val="0000FF"/>
            <w:sz w:val="28"/>
            <w:u w:val="single"/>
          </w:rPr>
          <w:t>www.telenesti.md</w:t>
        </w:r>
      </w:hyperlink>
      <w:r w:rsidRPr="00F3287D">
        <w:rPr>
          <w:sz w:val="28"/>
          <w:u w:val="single"/>
        </w:rPr>
        <w:t xml:space="preserve"> </w:t>
      </w:r>
      <w:r w:rsidRPr="00F3287D">
        <w:rPr>
          <w:sz w:val="28"/>
        </w:rPr>
        <w:t>şi/sau  site-ul</w:t>
      </w:r>
      <w:r w:rsidRPr="00F3287D">
        <w:rPr>
          <w:sz w:val="28"/>
          <w:u w:val="single"/>
        </w:rPr>
        <w:t xml:space="preserve">  </w:t>
      </w:r>
      <w:hyperlink r:id="rId13" w:history="1">
        <w:r w:rsidRPr="00F3287D">
          <w:rPr>
            <w:color w:val="0000FF"/>
            <w:sz w:val="28"/>
            <w:u w:val="single"/>
          </w:rPr>
          <w:t>www.actelocale.md</w:t>
        </w:r>
      </w:hyperlink>
      <w:r w:rsidRPr="00F3287D">
        <w:rPr>
          <w:sz w:val="28"/>
          <w:u w:val="single"/>
        </w:rPr>
        <w:t xml:space="preserve"> .</w:t>
      </w:r>
    </w:p>
    <w:p w:rsidR="00B11AD6" w:rsidRPr="00F3287D" w:rsidRDefault="00B11AD6" w:rsidP="00B11AD6">
      <w:pPr>
        <w:tabs>
          <w:tab w:val="left" w:pos="3420"/>
        </w:tabs>
        <w:rPr>
          <w:b/>
        </w:rPr>
      </w:pPr>
    </w:p>
    <w:p w:rsidR="00B11AD6" w:rsidRPr="00F3287D" w:rsidRDefault="00B11AD6" w:rsidP="00B11AD6">
      <w:pPr>
        <w:tabs>
          <w:tab w:val="left" w:pos="3420"/>
        </w:tabs>
        <w:rPr>
          <w:b/>
        </w:rPr>
      </w:pPr>
    </w:p>
    <w:p w:rsidR="0062644C" w:rsidRPr="00FA7650" w:rsidRDefault="00C02FB4" w:rsidP="002B4006">
      <w:pPr>
        <w:spacing w:line="276" w:lineRule="auto"/>
        <w:jc w:val="both"/>
        <w:rPr>
          <w:b/>
          <w:sz w:val="32"/>
          <w:szCs w:val="28"/>
        </w:rPr>
      </w:pPr>
      <w:r w:rsidRPr="00F3287D">
        <w:rPr>
          <w:b/>
          <w:sz w:val="28"/>
          <w:szCs w:val="28"/>
        </w:rPr>
        <w:t xml:space="preserve">Preşedintele şedinţei                                       </w:t>
      </w:r>
      <w:r w:rsidR="00D17A17" w:rsidRPr="00F3287D">
        <w:rPr>
          <w:b/>
          <w:sz w:val="28"/>
          <w:szCs w:val="28"/>
        </w:rPr>
        <w:t xml:space="preserve">             </w:t>
      </w:r>
      <w:r w:rsidR="000D167D" w:rsidRPr="00F3287D">
        <w:rPr>
          <w:b/>
          <w:sz w:val="28"/>
          <w:szCs w:val="28"/>
        </w:rPr>
        <w:t xml:space="preserve"> </w:t>
      </w:r>
      <w:r w:rsidR="001C53D5" w:rsidRPr="00F3287D">
        <w:rPr>
          <w:b/>
          <w:sz w:val="28"/>
          <w:szCs w:val="28"/>
        </w:rPr>
        <w:t xml:space="preserve">   </w:t>
      </w:r>
      <w:r w:rsidR="000D167D" w:rsidRPr="00F3287D">
        <w:rPr>
          <w:b/>
          <w:sz w:val="28"/>
          <w:szCs w:val="28"/>
        </w:rPr>
        <w:t xml:space="preserve"> </w:t>
      </w:r>
      <w:r w:rsidR="00FA7650">
        <w:rPr>
          <w:b/>
          <w:sz w:val="28"/>
          <w:szCs w:val="28"/>
        </w:rPr>
        <w:t xml:space="preserve">        </w:t>
      </w:r>
      <w:r w:rsidR="005937A4">
        <w:rPr>
          <w:b/>
          <w:sz w:val="28"/>
          <w:szCs w:val="28"/>
        </w:rPr>
        <w:t xml:space="preserve"> </w:t>
      </w:r>
      <w:r w:rsidR="00FA7650" w:rsidRPr="00FA7650">
        <w:rPr>
          <w:b/>
          <w:sz w:val="28"/>
        </w:rPr>
        <w:t xml:space="preserve">Vladimir </w:t>
      </w:r>
      <w:proofErr w:type="spellStart"/>
      <w:r w:rsidR="00FA7650" w:rsidRPr="00FA7650">
        <w:rPr>
          <w:b/>
          <w:sz w:val="28"/>
        </w:rPr>
        <w:t>Stratulat</w:t>
      </w:r>
      <w:proofErr w:type="spellEnd"/>
      <w:r w:rsidR="001C53D5" w:rsidRPr="00FA7650">
        <w:rPr>
          <w:b/>
          <w:sz w:val="32"/>
          <w:szCs w:val="28"/>
        </w:rPr>
        <w:t xml:space="preserve"> </w:t>
      </w:r>
    </w:p>
    <w:p w:rsidR="00FA7650" w:rsidRDefault="00FA7650" w:rsidP="002B4006">
      <w:pPr>
        <w:spacing w:line="276" w:lineRule="auto"/>
        <w:jc w:val="both"/>
        <w:rPr>
          <w:b/>
          <w:sz w:val="28"/>
          <w:szCs w:val="28"/>
        </w:rPr>
      </w:pPr>
    </w:p>
    <w:p w:rsidR="000D167D" w:rsidRDefault="00C02FB4" w:rsidP="002B4006">
      <w:pPr>
        <w:spacing w:line="276" w:lineRule="auto"/>
        <w:jc w:val="both"/>
        <w:rPr>
          <w:b/>
          <w:sz w:val="28"/>
          <w:szCs w:val="28"/>
        </w:rPr>
      </w:pPr>
      <w:r w:rsidRPr="00F3287D">
        <w:rPr>
          <w:b/>
          <w:sz w:val="28"/>
          <w:szCs w:val="28"/>
        </w:rPr>
        <w:t>Secretarul</w:t>
      </w:r>
      <w:r w:rsidR="00BB2821">
        <w:rPr>
          <w:b/>
          <w:sz w:val="28"/>
          <w:szCs w:val="28"/>
        </w:rPr>
        <w:t xml:space="preserve"> </w:t>
      </w:r>
      <w:r w:rsidRPr="00F3287D">
        <w:rPr>
          <w:b/>
          <w:sz w:val="28"/>
          <w:szCs w:val="28"/>
        </w:rPr>
        <w:t xml:space="preserve">Consiliului Raional                                         </w:t>
      </w:r>
      <w:r w:rsidR="00BB2821">
        <w:rPr>
          <w:b/>
          <w:sz w:val="28"/>
          <w:szCs w:val="28"/>
        </w:rPr>
        <w:t xml:space="preserve">            </w:t>
      </w:r>
      <w:r w:rsidRPr="00F3287D">
        <w:rPr>
          <w:b/>
          <w:sz w:val="28"/>
          <w:szCs w:val="28"/>
        </w:rPr>
        <w:t xml:space="preserve"> </w:t>
      </w:r>
      <w:r w:rsidR="00BB2821">
        <w:rPr>
          <w:b/>
          <w:sz w:val="28"/>
          <w:szCs w:val="28"/>
        </w:rPr>
        <w:t>Sergiu Lazăr</w:t>
      </w: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p w:rsidR="000B6F69" w:rsidRDefault="000B6F69" w:rsidP="002B4006">
      <w:pPr>
        <w:spacing w:line="276" w:lineRule="auto"/>
        <w:jc w:val="both"/>
        <w:rPr>
          <w:b/>
          <w:sz w:val="28"/>
          <w:szCs w:val="28"/>
        </w:rPr>
      </w:pPr>
    </w:p>
    <w:tbl>
      <w:tblPr>
        <w:tblW w:w="9667" w:type="dxa"/>
        <w:tblInd w:w="93" w:type="dxa"/>
        <w:tblLook w:val="04A0" w:firstRow="1" w:lastRow="0" w:firstColumn="1" w:lastColumn="0" w:noHBand="0" w:noVBand="1"/>
      </w:tblPr>
      <w:tblGrid>
        <w:gridCol w:w="5878"/>
        <w:gridCol w:w="22"/>
        <w:gridCol w:w="1680"/>
        <w:gridCol w:w="305"/>
        <w:gridCol w:w="1635"/>
        <w:gridCol w:w="147"/>
      </w:tblGrid>
      <w:tr w:rsidR="000B6F69" w:rsidRP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c>
          <w:tcPr>
            <w:tcW w:w="1680"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94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RP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c>
          <w:tcPr>
            <w:tcW w:w="1680"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94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Tr="000B6F69">
        <w:trPr>
          <w:gridAfter w:val="1"/>
          <w:wAfter w:w="147" w:type="dxa"/>
          <w:trHeight w:val="315"/>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jc w:val="center"/>
              <w:rPr>
                <w:i/>
                <w:iCs/>
                <w:color w:val="000000"/>
              </w:rPr>
            </w:pPr>
            <w:r>
              <w:rPr>
                <w:i/>
                <w:iCs/>
                <w:color w:val="000000"/>
              </w:rPr>
              <w:t>Anexa  Nr. 1</w:t>
            </w:r>
          </w:p>
        </w:tc>
      </w:tr>
      <w:tr w:rsidR="000B6F69" w:rsidTr="000B6F69">
        <w:trPr>
          <w:gridAfter w:val="1"/>
          <w:wAfter w:w="147" w:type="dxa"/>
          <w:trHeight w:val="315"/>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3620" w:type="dxa"/>
            <w:gridSpan w:val="3"/>
            <w:tcBorders>
              <w:top w:val="nil"/>
              <w:left w:val="nil"/>
              <w:bottom w:val="nil"/>
              <w:right w:val="nil"/>
            </w:tcBorders>
            <w:shd w:val="clear" w:color="auto" w:fill="auto"/>
            <w:noWrap/>
            <w:vAlign w:val="center"/>
            <w:hideMark/>
          </w:tcPr>
          <w:p w:rsidR="000B6F69" w:rsidRDefault="000B6F69">
            <w:pPr>
              <w:jc w:val="right"/>
              <w:rPr>
                <w:color w:val="000000"/>
              </w:rPr>
            </w:pPr>
            <w:r>
              <w:rPr>
                <w:color w:val="000000"/>
              </w:rPr>
              <w:t>la Decizia Consiliului Raional</w:t>
            </w:r>
          </w:p>
        </w:tc>
      </w:tr>
      <w:tr w:rsidR="000B6F69" w:rsidTr="000B6F69">
        <w:trPr>
          <w:gridAfter w:val="1"/>
          <w:wAfter w:w="147" w:type="dxa"/>
          <w:trHeight w:val="315"/>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3620" w:type="dxa"/>
            <w:gridSpan w:val="3"/>
            <w:tcBorders>
              <w:top w:val="nil"/>
              <w:left w:val="nil"/>
              <w:bottom w:val="nil"/>
              <w:right w:val="nil"/>
            </w:tcBorders>
            <w:shd w:val="clear" w:color="auto" w:fill="auto"/>
            <w:noWrap/>
            <w:vAlign w:val="center"/>
            <w:hideMark/>
          </w:tcPr>
          <w:p w:rsidR="000B6F69" w:rsidRDefault="00B67128" w:rsidP="00B67128">
            <w:pPr>
              <w:jc w:val="right"/>
              <w:rPr>
                <w:color w:val="000000"/>
              </w:rPr>
            </w:pPr>
            <w:r>
              <w:rPr>
                <w:color w:val="000000"/>
              </w:rPr>
              <w:t>n</w:t>
            </w:r>
            <w:r w:rsidR="000B6F69">
              <w:rPr>
                <w:color w:val="000000"/>
              </w:rPr>
              <w:t>r. 2/</w:t>
            </w:r>
            <w:r>
              <w:rPr>
                <w:color w:val="000000"/>
              </w:rPr>
              <w:t>3</w:t>
            </w:r>
            <w:r w:rsidR="000B6F69">
              <w:rPr>
                <w:color w:val="000000"/>
              </w:rPr>
              <w:t xml:space="preserve"> din  </w:t>
            </w:r>
            <w:r>
              <w:rPr>
                <w:color w:val="000000"/>
              </w:rPr>
              <w:t xml:space="preserve">07 aprilie </w:t>
            </w:r>
            <w:r w:rsidR="000B6F69">
              <w:rPr>
                <w:color w:val="000000"/>
              </w:rPr>
              <w:t xml:space="preserve"> 2017</w:t>
            </w:r>
          </w:p>
        </w:tc>
      </w:tr>
      <w:tr w:rsid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990"/>
        </w:trPr>
        <w:tc>
          <w:tcPr>
            <w:tcW w:w="9520" w:type="dxa"/>
            <w:gridSpan w:val="5"/>
            <w:tcBorders>
              <w:top w:val="nil"/>
              <w:left w:val="nil"/>
              <w:bottom w:val="nil"/>
              <w:right w:val="nil"/>
            </w:tcBorders>
            <w:shd w:val="clear" w:color="auto" w:fill="auto"/>
            <w:vAlign w:val="bottom"/>
            <w:hideMark/>
          </w:tcPr>
          <w:p w:rsidR="000B6F69" w:rsidRDefault="000B6F69">
            <w:pPr>
              <w:jc w:val="center"/>
              <w:rPr>
                <w:b/>
                <w:bCs/>
                <w:color w:val="000000"/>
                <w:sz w:val="32"/>
                <w:szCs w:val="32"/>
              </w:rPr>
            </w:pPr>
            <w:r>
              <w:rPr>
                <w:b/>
                <w:bCs/>
                <w:color w:val="000000"/>
                <w:sz w:val="32"/>
                <w:szCs w:val="32"/>
              </w:rPr>
              <w:t>Indicatorii generali și sursele de finanțare ale bugetului local  de nivelul II, pentru anul 2017</w:t>
            </w:r>
          </w:p>
        </w:tc>
      </w:tr>
      <w:tr w:rsidR="000B6F69" w:rsidTr="000B6F69">
        <w:trPr>
          <w:gridAfter w:val="1"/>
          <w:wAfter w:w="147" w:type="dxa"/>
          <w:trHeight w:val="66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1260"/>
        </w:trPr>
        <w:tc>
          <w:tcPr>
            <w:tcW w:w="5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6F69" w:rsidRDefault="000B6F69">
            <w:pPr>
              <w:jc w:val="center"/>
              <w:rPr>
                <w:b/>
                <w:bCs/>
                <w:color w:val="000000"/>
              </w:rPr>
            </w:pPr>
            <w:r>
              <w:rPr>
                <w:b/>
                <w:bCs/>
                <w:color w:val="000000"/>
              </w:rPr>
              <w:t xml:space="preserve">Denumirea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B6F69" w:rsidRDefault="000B6F69">
            <w:pPr>
              <w:jc w:val="center"/>
              <w:rPr>
                <w:b/>
                <w:bCs/>
                <w:color w:val="000000"/>
              </w:rPr>
            </w:pPr>
            <w:r>
              <w:rPr>
                <w:b/>
                <w:bCs/>
                <w:color w:val="000000"/>
              </w:rPr>
              <w:t>Cod Eco</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0B6F69" w:rsidRDefault="000B6F69">
            <w:pPr>
              <w:jc w:val="center"/>
              <w:rPr>
                <w:b/>
                <w:bCs/>
                <w:color w:val="000000"/>
              </w:rPr>
            </w:pPr>
            <w:r>
              <w:rPr>
                <w:b/>
                <w:bCs/>
                <w:color w:val="000000"/>
              </w:rPr>
              <w:t>Bugetul adus în concordanță cu Legea bugetului de Stat</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rPr>
              <w:t>I.  VENITURI, total</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b/>
                <w:bCs/>
                <w:color w:val="000000"/>
              </w:rPr>
            </w:pPr>
            <w:r>
              <w:rPr>
                <w:b/>
                <w:bCs/>
                <w:color w:val="000000"/>
              </w:rPr>
              <w:t>1</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jc w:val="right"/>
              <w:rPr>
                <w:b/>
                <w:bCs/>
                <w:color w:val="000000"/>
              </w:rPr>
            </w:pPr>
            <w:r>
              <w:rPr>
                <w:b/>
                <w:bCs/>
                <w:color w:val="000000"/>
              </w:rPr>
              <w:t>133652,0</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rPr>
              <w:t xml:space="preserve">       inclusiv transferuri de la bugetul de stat</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b/>
                <w:bCs/>
                <w:color w:val="000000"/>
              </w:rPr>
            </w:pPr>
            <w:r>
              <w:rPr>
                <w:b/>
                <w:bCs/>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jc w:val="right"/>
              <w:rPr>
                <w:b/>
                <w:bCs/>
                <w:color w:val="000000"/>
              </w:rPr>
            </w:pPr>
            <w:r>
              <w:rPr>
                <w:b/>
                <w:bCs/>
                <w:color w:val="000000"/>
              </w:rPr>
              <w:t>126697,6</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rPr>
              <w:t>II. CHELTUIELI, total</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b/>
                <w:bCs/>
                <w:color w:val="000000"/>
              </w:rPr>
            </w:pPr>
            <w:r>
              <w:rPr>
                <w:b/>
                <w:bCs/>
                <w:color w:val="000000"/>
              </w:rPr>
              <w:t>2+3</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jc w:val="right"/>
              <w:rPr>
                <w:b/>
                <w:bCs/>
                <w:color w:val="000000"/>
              </w:rPr>
            </w:pPr>
            <w:r>
              <w:rPr>
                <w:b/>
                <w:bCs/>
                <w:color w:val="000000"/>
              </w:rPr>
              <w:t>133652,0</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rPr>
              <w:t>III. SOLD BUGETAR</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b/>
                <w:bCs/>
                <w:color w:val="000000"/>
              </w:rPr>
            </w:pPr>
            <w:r>
              <w:rPr>
                <w:b/>
                <w:bCs/>
                <w:color w:val="000000"/>
              </w:rPr>
              <w:t>1-(2+3)</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rPr>
              <w:t>IV. SURSELE DE FINANȚARE, total</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b/>
                <w:bCs/>
                <w:color w:val="000000"/>
              </w:rPr>
            </w:pPr>
            <w:r>
              <w:rPr>
                <w:b/>
                <w:bCs/>
                <w:color w:val="000000"/>
              </w:rPr>
              <w:t>4+5+9</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b/>
                <w:bCs/>
                <w:color w:val="000000"/>
              </w:rPr>
            </w:pPr>
            <w:r>
              <w:rPr>
                <w:b/>
                <w:bCs/>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inclusiv conform clasificației economice (k3)</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15"/>
        </w:trPr>
        <w:tc>
          <w:tcPr>
            <w:tcW w:w="5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Default="000B6F69">
            <w:pPr>
              <w:rPr>
                <w:color w:val="000000"/>
              </w:rPr>
            </w:pPr>
            <w:r>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0B6F69" w:rsidRDefault="000B6F69">
            <w:pPr>
              <w:jc w:val="center"/>
              <w:rPr>
                <w:color w:val="000000"/>
              </w:rPr>
            </w:pPr>
            <w:r>
              <w:rPr>
                <w:color w:val="000000"/>
              </w:rPr>
              <w:t> </w:t>
            </w:r>
          </w:p>
        </w:tc>
        <w:tc>
          <w:tcPr>
            <w:tcW w:w="1940" w:type="dxa"/>
            <w:gridSpan w:val="2"/>
            <w:tcBorders>
              <w:top w:val="nil"/>
              <w:left w:val="nil"/>
              <w:bottom w:val="single" w:sz="4" w:space="0" w:color="auto"/>
              <w:right w:val="single" w:sz="4" w:space="0" w:color="auto"/>
            </w:tcBorders>
            <w:shd w:val="clear" w:color="auto" w:fill="auto"/>
            <w:noWrap/>
            <w:vAlign w:val="bottom"/>
            <w:hideMark/>
          </w:tcPr>
          <w:p w:rsidR="000B6F69" w:rsidRDefault="000B6F69">
            <w:pPr>
              <w:rPr>
                <w:rFonts w:ascii="Calibri" w:hAnsi="Calibri" w:cs="Calibri"/>
                <w:color w:val="000000"/>
              </w:rPr>
            </w:pPr>
            <w:r>
              <w:rPr>
                <w:rFonts w:ascii="Calibri" w:hAnsi="Calibri" w:cs="Calibri"/>
                <w:color w:val="000000"/>
                <w:sz w:val="22"/>
                <w:szCs w:val="22"/>
              </w:rPr>
              <w:t> </w:t>
            </w:r>
          </w:p>
        </w:tc>
      </w:tr>
      <w:tr w:rsid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c>
          <w:tcPr>
            <w:tcW w:w="1680" w:type="dxa"/>
            <w:tcBorders>
              <w:top w:val="nil"/>
              <w:left w:val="nil"/>
              <w:bottom w:val="nil"/>
              <w:right w:val="nil"/>
            </w:tcBorders>
            <w:shd w:val="clear" w:color="auto" w:fill="auto"/>
            <w:noWrap/>
            <w:vAlign w:val="center"/>
            <w:hideMark/>
          </w:tcPr>
          <w:p w:rsidR="000B6F69" w:rsidRDefault="000B6F69">
            <w:pPr>
              <w:jc w:val="center"/>
              <w:rPr>
                <w:rFonts w:ascii="Calibri" w:hAnsi="Calibri" w:cs="Calibri"/>
                <w:color w:val="000000"/>
              </w:rPr>
            </w:pPr>
          </w:p>
        </w:tc>
        <w:tc>
          <w:tcPr>
            <w:tcW w:w="1940" w:type="dxa"/>
            <w:gridSpan w:val="2"/>
            <w:tcBorders>
              <w:top w:val="nil"/>
              <w:left w:val="nil"/>
              <w:bottom w:val="nil"/>
              <w:right w:val="nil"/>
            </w:tcBorders>
            <w:shd w:val="clear" w:color="auto" w:fill="auto"/>
            <w:noWrap/>
            <w:vAlign w:val="bottom"/>
            <w:hideMark/>
          </w:tcPr>
          <w:p w:rsidR="000B6F69" w:rsidRDefault="000B6F69">
            <w:pPr>
              <w:rPr>
                <w:rFonts w:ascii="Calibri" w:hAnsi="Calibri" w:cs="Calibri"/>
                <w:color w:val="000000"/>
              </w:rPr>
            </w:pPr>
          </w:p>
        </w:tc>
      </w:tr>
      <w:tr w:rsidR="000B6F69" w:rsidTr="000B6F69">
        <w:trPr>
          <w:gridAfter w:val="1"/>
          <w:wAfter w:w="147" w:type="dxa"/>
          <w:trHeight w:val="315"/>
        </w:trPr>
        <w:tc>
          <w:tcPr>
            <w:tcW w:w="9520" w:type="dxa"/>
            <w:gridSpan w:val="5"/>
            <w:tcBorders>
              <w:top w:val="nil"/>
              <w:left w:val="nil"/>
              <w:bottom w:val="nil"/>
              <w:right w:val="nil"/>
            </w:tcBorders>
            <w:shd w:val="clear" w:color="auto" w:fill="auto"/>
            <w:noWrap/>
            <w:vAlign w:val="bottom"/>
            <w:hideMark/>
          </w:tcPr>
          <w:p w:rsidR="000B6F69" w:rsidRDefault="000B6F69">
            <w:pPr>
              <w:jc w:val="center"/>
              <w:rPr>
                <w:b/>
                <w:bCs/>
                <w:color w:val="000000"/>
              </w:rPr>
            </w:pPr>
            <w:r>
              <w:rPr>
                <w:b/>
                <w:bCs/>
                <w:color w:val="000000"/>
              </w:rPr>
              <w:t xml:space="preserve">Șeful Direcției Finanțe                                                         </w:t>
            </w:r>
            <w:proofErr w:type="spellStart"/>
            <w:r>
              <w:rPr>
                <w:b/>
                <w:bCs/>
                <w:color w:val="000000"/>
              </w:rPr>
              <w:t>L.Darii</w:t>
            </w:r>
            <w:proofErr w:type="spellEnd"/>
          </w:p>
        </w:tc>
      </w:tr>
      <w:tr w:rsidR="000B6F69" w:rsidRP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Default="000B6F69" w:rsidP="000B6F69">
            <w:pPr>
              <w:rPr>
                <w:color w:val="000000"/>
              </w:rPr>
            </w:pPr>
          </w:p>
          <w:p w:rsidR="000B6F69" w:rsidRPr="000B6F69" w:rsidRDefault="000B6F69" w:rsidP="000B6F69">
            <w:pPr>
              <w:rPr>
                <w:color w:val="000000"/>
              </w:rPr>
            </w:pPr>
          </w:p>
        </w:tc>
        <w:tc>
          <w:tcPr>
            <w:tcW w:w="1680"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94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RP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c>
          <w:tcPr>
            <w:tcW w:w="1680"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94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r w:rsidRPr="000B6F69">
              <w:rPr>
                <w:color w:val="000000"/>
              </w:rPr>
              <w:t>Anexa  Nr. 2</w:t>
            </w:r>
          </w:p>
        </w:tc>
      </w:tr>
      <w:tr w:rsidR="000B6F69" w:rsidRPr="000B6F69" w:rsidTr="000B6F69">
        <w:trPr>
          <w:trHeight w:val="315"/>
        </w:trPr>
        <w:tc>
          <w:tcPr>
            <w:tcW w:w="5878" w:type="dxa"/>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3789" w:type="dxa"/>
            <w:gridSpan w:val="5"/>
            <w:tcBorders>
              <w:top w:val="nil"/>
              <w:left w:val="nil"/>
              <w:bottom w:val="nil"/>
              <w:right w:val="nil"/>
            </w:tcBorders>
            <w:shd w:val="clear" w:color="auto" w:fill="auto"/>
            <w:noWrap/>
            <w:vAlign w:val="center"/>
            <w:hideMark/>
          </w:tcPr>
          <w:p w:rsidR="000B6F69" w:rsidRPr="000B6F69" w:rsidRDefault="000B6F69" w:rsidP="000B6F69">
            <w:pPr>
              <w:jc w:val="right"/>
              <w:rPr>
                <w:color w:val="000000"/>
              </w:rPr>
            </w:pPr>
            <w:r w:rsidRPr="000B6F69">
              <w:rPr>
                <w:color w:val="000000"/>
              </w:rPr>
              <w:t>la Decizia Consiliului Raional</w:t>
            </w:r>
          </w:p>
        </w:tc>
      </w:tr>
      <w:tr w:rsidR="000B6F69" w:rsidRPr="000B6F69" w:rsidTr="000B6F69">
        <w:trPr>
          <w:trHeight w:val="315"/>
        </w:trPr>
        <w:tc>
          <w:tcPr>
            <w:tcW w:w="5878" w:type="dxa"/>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3789" w:type="dxa"/>
            <w:gridSpan w:val="5"/>
            <w:tcBorders>
              <w:top w:val="nil"/>
              <w:left w:val="nil"/>
              <w:bottom w:val="nil"/>
              <w:right w:val="nil"/>
            </w:tcBorders>
            <w:shd w:val="clear" w:color="auto" w:fill="auto"/>
            <w:noWrap/>
            <w:vAlign w:val="center"/>
            <w:hideMark/>
          </w:tcPr>
          <w:p w:rsidR="000B6F69" w:rsidRPr="000B6F69" w:rsidRDefault="00B67128" w:rsidP="000B6F69">
            <w:pPr>
              <w:jc w:val="right"/>
              <w:rPr>
                <w:color w:val="000000"/>
              </w:rPr>
            </w:pPr>
            <w:r>
              <w:rPr>
                <w:color w:val="000000"/>
              </w:rPr>
              <w:t>n</w:t>
            </w:r>
            <w:r w:rsidR="000B6F69" w:rsidRPr="000B6F69">
              <w:rPr>
                <w:color w:val="000000"/>
              </w:rPr>
              <w:t xml:space="preserve">r. </w:t>
            </w:r>
            <w:r>
              <w:rPr>
                <w:color w:val="000000"/>
              </w:rPr>
              <w:t xml:space="preserve">2/3 din  07 aprilie  </w:t>
            </w:r>
            <w:r w:rsidR="000B6F69" w:rsidRPr="000B6F69">
              <w:rPr>
                <w:color w:val="000000"/>
              </w:rPr>
              <w:t>2017</w:t>
            </w:r>
          </w:p>
        </w:tc>
      </w:tr>
      <w:tr w:rsidR="000B6F69" w:rsidRPr="000B6F69" w:rsidTr="000B6F69">
        <w:trPr>
          <w:trHeight w:val="300"/>
        </w:trPr>
        <w:tc>
          <w:tcPr>
            <w:tcW w:w="5878" w:type="dxa"/>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2007" w:type="dxa"/>
            <w:gridSpan w:val="3"/>
            <w:tcBorders>
              <w:top w:val="nil"/>
              <w:left w:val="nil"/>
              <w:bottom w:val="nil"/>
              <w:right w:val="nil"/>
            </w:tcBorders>
            <w:shd w:val="clear" w:color="auto" w:fill="auto"/>
            <w:noWrap/>
            <w:vAlign w:val="center"/>
            <w:hideMark/>
          </w:tcPr>
          <w:p w:rsidR="000B6F69" w:rsidRPr="000B6F69" w:rsidRDefault="000B6F69" w:rsidP="000B6F69">
            <w:pPr>
              <w:jc w:val="center"/>
              <w:rPr>
                <w:rFonts w:ascii="Calibri" w:hAnsi="Calibri" w:cs="Calibri"/>
                <w:color w:val="000000"/>
              </w:rPr>
            </w:pPr>
          </w:p>
        </w:tc>
        <w:tc>
          <w:tcPr>
            <w:tcW w:w="1782" w:type="dxa"/>
            <w:gridSpan w:val="2"/>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r>
      <w:tr w:rsidR="000B6F69" w:rsidRPr="000B6F69" w:rsidTr="000B6F69">
        <w:trPr>
          <w:trHeight w:val="405"/>
        </w:trPr>
        <w:tc>
          <w:tcPr>
            <w:tcW w:w="9667" w:type="dxa"/>
            <w:gridSpan w:val="6"/>
            <w:tcBorders>
              <w:top w:val="nil"/>
              <w:left w:val="nil"/>
              <w:bottom w:val="nil"/>
              <w:right w:val="nil"/>
            </w:tcBorders>
            <w:shd w:val="clear" w:color="auto" w:fill="auto"/>
            <w:noWrap/>
            <w:vAlign w:val="bottom"/>
            <w:hideMark/>
          </w:tcPr>
          <w:p w:rsidR="000B6F69" w:rsidRPr="000B6F69" w:rsidRDefault="000B6F69" w:rsidP="000B6F69">
            <w:pPr>
              <w:jc w:val="center"/>
              <w:rPr>
                <w:b/>
                <w:bCs/>
                <w:color w:val="000000"/>
                <w:sz w:val="32"/>
                <w:szCs w:val="32"/>
              </w:rPr>
            </w:pPr>
            <w:r w:rsidRPr="000B6F69">
              <w:rPr>
                <w:b/>
                <w:bCs/>
                <w:color w:val="000000"/>
                <w:sz w:val="32"/>
                <w:szCs w:val="32"/>
              </w:rPr>
              <w:t>Componența veniturilor bugetului local de nivelul II, pentru anul 2017</w:t>
            </w:r>
          </w:p>
        </w:tc>
      </w:tr>
      <w:tr w:rsidR="000B6F69" w:rsidRPr="000B6F69" w:rsidTr="000B6F69">
        <w:trPr>
          <w:trHeight w:val="300"/>
        </w:trPr>
        <w:tc>
          <w:tcPr>
            <w:tcW w:w="5878" w:type="dxa"/>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2007" w:type="dxa"/>
            <w:gridSpan w:val="3"/>
            <w:tcBorders>
              <w:top w:val="nil"/>
              <w:left w:val="nil"/>
              <w:bottom w:val="nil"/>
              <w:right w:val="nil"/>
            </w:tcBorders>
            <w:shd w:val="clear" w:color="auto" w:fill="auto"/>
            <w:noWrap/>
            <w:vAlign w:val="center"/>
            <w:hideMark/>
          </w:tcPr>
          <w:p w:rsidR="000B6F69" w:rsidRPr="000B6F69" w:rsidRDefault="000B6F69" w:rsidP="000B6F69">
            <w:pPr>
              <w:jc w:val="center"/>
              <w:rPr>
                <w:rFonts w:ascii="Calibri" w:hAnsi="Calibri" w:cs="Calibri"/>
                <w:color w:val="000000"/>
              </w:rPr>
            </w:pPr>
          </w:p>
        </w:tc>
        <w:tc>
          <w:tcPr>
            <w:tcW w:w="1782" w:type="dxa"/>
            <w:gridSpan w:val="2"/>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r>
      <w:tr w:rsidR="000B6F69" w:rsidRPr="000B6F69" w:rsidTr="000B6F69">
        <w:trPr>
          <w:trHeight w:val="1260"/>
        </w:trPr>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bookmarkStart w:id="0" w:name="_GoBack"/>
            <w:bookmarkEnd w:id="0"/>
            <w:r w:rsidRPr="000B6F69">
              <w:rPr>
                <w:b/>
                <w:bCs/>
                <w:color w:val="000000"/>
              </w:rPr>
              <w:t xml:space="preserve">Denumirea </w:t>
            </w:r>
          </w:p>
        </w:tc>
        <w:tc>
          <w:tcPr>
            <w:tcW w:w="2007" w:type="dxa"/>
            <w:gridSpan w:val="3"/>
            <w:tcBorders>
              <w:top w:val="single" w:sz="4" w:space="0" w:color="auto"/>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Cod Eco (k6)</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rsidR="000B6F69" w:rsidRPr="000B6F69" w:rsidRDefault="000B6F69" w:rsidP="000B6F69">
            <w:pPr>
              <w:jc w:val="center"/>
              <w:rPr>
                <w:b/>
                <w:bCs/>
                <w:color w:val="000000"/>
              </w:rPr>
            </w:pPr>
            <w:r w:rsidRPr="000B6F69">
              <w:rPr>
                <w:b/>
                <w:bCs/>
                <w:color w:val="000000"/>
              </w:rPr>
              <w:t xml:space="preserve">Bugetul adus în concordanță cu Legea bugetului de stat </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noWrap/>
            <w:vAlign w:val="center"/>
            <w:hideMark/>
          </w:tcPr>
          <w:p w:rsidR="000B6F69" w:rsidRPr="000B6F69" w:rsidRDefault="000B6F69" w:rsidP="000B6F69">
            <w:pPr>
              <w:rPr>
                <w:b/>
                <w:bCs/>
                <w:color w:val="000000"/>
              </w:rPr>
            </w:pPr>
            <w:r w:rsidRPr="000B6F69">
              <w:rPr>
                <w:b/>
                <w:bCs/>
                <w:color w:val="000000"/>
              </w:rPr>
              <w:t>TOTAL</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 </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b/>
                <w:bCs/>
                <w:color w:val="000000"/>
              </w:rPr>
            </w:pPr>
            <w:r w:rsidRPr="000B6F69">
              <w:rPr>
                <w:b/>
                <w:bCs/>
                <w:color w:val="000000"/>
              </w:rPr>
              <w:t>133652,0</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Impozitul pe venitul persoanelor fizice</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111110</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3778,5</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Taxa pentru extragerea mineralelor utile</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114612</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80,0</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Taxa pentru lemnul eliberat pe picior</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114613</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6,2</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Amenzi și sancțiuni</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1431</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70,0</w:t>
            </w:r>
          </w:p>
        </w:tc>
      </w:tr>
      <w:tr w:rsidR="000B6F69" w:rsidRPr="000B6F69" w:rsidTr="000B6F69">
        <w:trPr>
          <w:trHeight w:val="1260"/>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Transferuri curente primite cu destinație specială între bugetul de stat și bugetele locale de nivelul II pentru </w:t>
            </w:r>
            <w:proofErr w:type="spellStart"/>
            <w:r w:rsidRPr="000B6F69">
              <w:rPr>
                <w:color w:val="000000"/>
              </w:rPr>
              <w:t>învățămîntul</w:t>
            </w:r>
            <w:proofErr w:type="spellEnd"/>
            <w:r w:rsidRPr="000B6F69">
              <w:rPr>
                <w:color w:val="000000"/>
              </w:rPr>
              <w:t xml:space="preserve"> preșcolar, primar, secundar general, special și complementar (extrașcolar)</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191111</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89671,4</w:t>
            </w:r>
          </w:p>
        </w:tc>
      </w:tr>
      <w:tr w:rsidR="000B6F69" w:rsidRPr="000B6F69" w:rsidTr="000B6F69">
        <w:trPr>
          <w:trHeight w:val="945"/>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Transferuri curente primite cu destinație specială între bugetul de stat și bugetele locale de nivelul II pentru asigurarea și asistența socială</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191112</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3266,6</w:t>
            </w:r>
          </w:p>
        </w:tc>
      </w:tr>
      <w:tr w:rsidR="000B6F69" w:rsidRPr="000B6F69" w:rsidTr="000B6F69">
        <w:trPr>
          <w:trHeight w:val="630"/>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Transferuri curente primite cu destinație specială între bugetul de stat și bugetele locale de nivelul II pentru școli sportive</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191113</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1768,9</w:t>
            </w:r>
          </w:p>
        </w:tc>
      </w:tr>
      <w:tr w:rsidR="000B6F69" w:rsidRPr="000B6F69" w:rsidTr="000B6F69">
        <w:trPr>
          <w:trHeight w:val="630"/>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Transferuri curente primite cu destinație generală între bugetul de stat și bugetele locale de nivelul II</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191131</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19602,9</w:t>
            </w:r>
          </w:p>
        </w:tc>
      </w:tr>
      <w:tr w:rsidR="000B6F69" w:rsidRPr="000B6F69" w:rsidTr="000B6F69">
        <w:trPr>
          <w:trHeight w:val="960"/>
        </w:trPr>
        <w:tc>
          <w:tcPr>
            <w:tcW w:w="5878" w:type="dxa"/>
            <w:tcBorders>
              <w:top w:val="nil"/>
              <w:left w:val="single" w:sz="4" w:space="0" w:color="auto"/>
              <w:bottom w:val="single" w:sz="4" w:space="0" w:color="auto"/>
              <w:right w:val="single" w:sz="4" w:space="0" w:color="auto"/>
            </w:tcBorders>
            <w:shd w:val="clear" w:color="auto" w:fill="auto"/>
            <w:vAlign w:val="center"/>
            <w:hideMark/>
          </w:tcPr>
          <w:p w:rsidR="000B6F69" w:rsidRPr="000B6F69" w:rsidRDefault="000B6F69" w:rsidP="000B6F69">
            <w:pPr>
              <w:rPr>
                <w:color w:val="000000"/>
              </w:rPr>
            </w:pPr>
            <w:r w:rsidRPr="000B6F69">
              <w:rPr>
                <w:color w:val="000000"/>
              </w:rPr>
              <w:t>Transferuri curente primite cu destinație generală din fondul de compensare între bugetul de stat și bugetele locale de nivelul II</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191132</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2351,1</w:t>
            </w:r>
          </w:p>
        </w:tc>
      </w:tr>
      <w:tr w:rsidR="000B6F69" w:rsidRPr="000B6F69" w:rsidTr="000B6F69">
        <w:trPr>
          <w:trHeight w:val="630"/>
        </w:trPr>
        <w:tc>
          <w:tcPr>
            <w:tcW w:w="5878" w:type="dxa"/>
            <w:tcBorders>
              <w:top w:val="nil"/>
              <w:left w:val="single" w:sz="4" w:space="0" w:color="auto"/>
              <w:bottom w:val="single" w:sz="4" w:space="0" w:color="auto"/>
              <w:right w:val="single" w:sz="4" w:space="0" w:color="auto"/>
            </w:tcBorders>
            <w:shd w:val="clear" w:color="auto" w:fill="auto"/>
            <w:vAlign w:val="center"/>
            <w:hideMark/>
          </w:tcPr>
          <w:p w:rsidR="000B6F69" w:rsidRPr="000B6F69" w:rsidRDefault="000B6F69" w:rsidP="000B6F69">
            <w:pPr>
              <w:rPr>
                <w:color w:val="000000"/>
              </w:rPr>
            </w:pPr>
            <w:r w:rsidRPr="000B6F69">
              <w:rPr>
                <w:color w:val="000000"/>
              </w:rPr>
              <w:t xml:space="preserve">Alte transferuri curente primite cu destinație generală între bugetul de stat și bugetele locale de nivelul II </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191139</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420,1</w:t>
            </w:r>
          </w:p>
        </w:tc>
      </w:tr>
      <w:tr w:rsidR="000B6F69" w:rsidRPr="000B6F69" w:rsidTr="000B6F69">
        <w:trPr>
          <w:trHeight w:val="945"/>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Transferuri curente primite cu destinație specială între instituțiile  bugetului  de stat și  instituțiilor bugetelor locale de nivelul II  (fondul republican)</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191310</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1987,9</w:t>
            </w:r>
          </w:p>
        </w:tc>
      </w:tr>
      <w:tr w:rsidR="000B6F69" w:rsidRPr="000B6F69" w:rsidTr="000B6F69">
        <w:trPr>
          <w:trHeight w:val="630"/>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Transferuri cu destinație specială pentru infrastructura drumurilor publice locale</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9616,6</w:t>
            </w:r>
          </w:p>
        </w:tc>
      </w:tr>
      <w:tr w:rsidR="000B6F69" w:rsidRPr="000B6F69" w:rsidTr="000B6F69">
        <w:trPr>
          <w:trHeight w:val="630"/>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Taxa de la cumpărarea valutei străine de către persoanele fizice în casele de schimb valutar</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142245</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40,0</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Încasări de la prestarea serviciilor cu plată</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142310</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680,9</w:t>
            </w:r>
          </w:p>
        </w:tc>
      </w:tr>
      <w:tr w:rsidR="000B6F69" w:rsidRPr="000B6F69" w:rsidTr="000B6F69">
        <w:trPr>
          <w:trHeight w:val="315"/>
        </w:trPr>
        <w:tc>
          <w:tcPr>
            <w:tcW w:w="5878" w:type="dxa"/>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Plata pentru </w:t>
            </w:r>
            <w:proofErr w:type="spellStart"/>
            <w:r w:rsidRPr="000B6F69">
              <w:rPr>
                <w:color w:val="000000"/>
              </w:rPr>
              <w:t>locațiuniunea</w:t>
            </w:r>
            <w:proofErr w:type="spellEnd"/>
            <w:r w:rsidRPr="000B6F69">
              <w:rPr>
                <w:color w:val="000000"/>
              </w:rPr>
              <w:t xml:space="preserve"> bunurilor patrimoniului public</w:t>
            </w:r>
          </w:p>
        </w:tc>
        <w:tc>
          <w:tcPr>
            <w:tcW w:w="2007" w:type="dxa"/>
            <w:gridSpan w:val="3"/>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142320</w:t>
            </w:r>
          </w:p>
        </w:tc>
        <w:tc>
          <w:tcPr>
            <w:tcW w:w="1782" w:type="dxa"/>
            <w:gridSpan w:val="2"/>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310,9</w:t>
            </w:r>
          </w:p>
        </w:tc>
      </w:tr>
      <w:tr w:rsidR="000B6F69" w:rsidRPr="000B6F69" w:rsidTr="000B6F69">
        <w:trPr>
          <w:gridAfter w:val="1"/>
          <w:wAfter w:w="147" w:type="dxa"/>
          <w:trHeight w:val="300"/>
        </w:trPr>
        <w:tc>
          <w:tcPr>
            <w:tcW w:w="590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c>
          <w:tcPr>
            <w:tcW w:w="1680"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940"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RPr="000B6F69" w:rsidTr="000B6F69">
        <w:trPr>
          <w:gridAfter w:val="1"/>
          <w:wAfter w:w="147" w:type="dxa"/>
          <w:trHeight w:val="315"/>
        </w:trPr>
        <w:tc>
          <w:tcPr>
            <w:tcW w:w="9520" w:type="dxa"/>
            <w:gridSpan w:val="5"/>
            <w:tcBorders>
              <w:top w:val="nil"/>
              <w:left w:val="nil"/>
              <w:bottom w:val="nil"/>
              <w:right w:val="nil"/>
            </w:tcBorders>
            <w:shd w:val="clear" w:color="auto" w:fill="auto"/>
            <w:noWrap/>
            <w:vAlign w:val="bottom"/>
            <w:hideMark/>
          </w:tcPr>
          <w:p w:rsidR="000B6F69" w:rsidRPr="000B6F69" w:rsidRDefault="000B6F69" w:rsidP="000B6F69">
            <w:pPr>
              <w:jc w:val="center"/>
              <w:rPr>
                <w:b/>
                <w:bCs/>
                <w:color w:val="000000"/>
              </w:rPr>
            </w:pPr>
          </w:p>
        </w:tc>
      </w:tr>
    </w:tbl>
    <w:p w:rsidR="000B6F69" w:rsidRDefault="000B6F69" w:rsidP="000B6F69">
      <w:pPr>
        <w:spacing w:line="276" w:lineRule="auto"/>
        <w:jc w:val="center"/>
        <w:rPr>
          <w:b/>
          <w:sz w:val="28"/>
          <w:szCs w:val="28"/>
        </w:rPr>
      </w:pPr>
      <w:r w:rsidRPr="000B6F69">
        <w:rPr>
          <w:b/>
          <w:sz w:val="28"/>
          <w:szCs w:val="28"/>
        </w:rPr>
        <w:t xml:space="preserve">Șeful Direcției Finanțe                                                         </w:t>
      </w:r>
      <w:proofErr w:type="spellStart"/>
      <w:r w:rsidRPr="000B6F69">
        <w:rPr>
          <w:b/>
          <w:sz w:val="28"/>
          <w:szCs w:val="28"/>
        </w:rPr>
        <w:t>L.Darii</w:t>
      </w:r>
      <w:proofErr w:type="spellEnd"/>
    </w:p>
    <w:tbl>
      <w:tblPr>
        <w:tblW w:w="9436" w:type="dxa"/>
        <w:tblInd w:w="93" w:type="dxa"/>
        <w:tblLook w:val="04A0" w:firstRow="1" w:lastRow="0" w:firstColumn="1" w:lastColumn="0" w:noHBand="0" w:noVBand="1"/>
      </w:tblPr>
      <w:tblGrid>
        <w:gridCol w:w="1688"/>
        <w:gridCol w:w="4114"/>
        <w:gridCol w:w="1946"/>
        <w:gridCol w:w="1688"/>
      </w:tblGrid>
      <w:tr w:rsidR="000B6F69" w:rsidRPr="000B6F69" w:rsidTr="000B6F69">
        <w:trPr>
          <w:trHeight w:val="315"/>
        </w:trPr>
        <w:tc>
          <w:tcPr>
            <w:tcW w:w="5802" w:type="dxa"/>
            <w:gridSpan w:val="2"/>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1946" w:type="dxa"/>
            <w:tcBorders>
              <w:top w:val="nil"/>
              <w:left w:val="nil"/>
              <w:bottom w:val="nil"/>
              <w:right w:val="nil"/>
            </w:tcBorders>
            <w:shd w:val="clear" w:color="auto" w:fill="auto"/>
            <w:noWrap/>
            <w:vAlign w:val="center"/>
            <w:hideMark/>
          </w:tcPr>
          <w:p w:rsidR="000B6F69" w:rsidRPr="000B6F69" w:rsidRDefault="000B6F69" w:rsidP="000B6F69">
            <w:pPr>
              <w:jc w:val="center"/>
              <w:rPr>
                <w:rFonts w:ascii="Calibri" w:hAnsi="Calibri" w:cs="Calibri"/>
                <w:color w:val="000000"/>
              </w:rPr>
            </w:pPr>
          </w:p>
        </w:tc>
        <w:tc>
          <w:tcPr>
            <w:tcW w:w="1688" w:type="dxa"/>
            <w:tcBorders>
              <w:top w:val="nil"/>
              <w:left w:val="nil"/>
              <w:bottom w:val="nil"/>
              <w:right w:val="nil"/>
            </w:tcBorders>
            <w:shd w:val="clear" w:color="auto" w:fill="auto"/>
            <w:noWrap/>
            <w:vAlign w:val="bottom"/>
            <w:hideMark/>
          </w:tcPr>
          <w:p w:rsidR="000B6F69" w:rsidRPr="000B6F69" w:rsidRDefault="000B6F69" w:rsidP="000B6F69">
            <w:pPr>
              <w:jc w:val="center"/>
              <w:rPr>
                <w:i/>
                <w:iCs/>
                <w:color w:val="000000"/>
              </w:rPr>
            </w:pPr>
            <w:r w:rsidRPr="000B6F69">
              <w:rPr>
                <w:i/>
                <w:iCs/>
                <w:color w:val="000000"/>
              </w:rPr>
              <w:t>Anexa  Nr. 3</w:t>
            </w:r>
          </w:p>
        </w:tc>
      </w:tr>
      <w:tr w:rsidR="000B6F69" w:rsidRPr="000B6F69" w:rsidTr="000B6F69">
        <w:trPr>
          <w:trHeight w:val="315"/>
        </w:trPr>
        <w:tc>
          <w:tcPr>
            <w:tcW w:w="5802" w:type="dxa"/>
            <w:gridSpan w:val="2"/>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3634" w:type="dxa"/>
            <w:gridSpan w:val="2"/>
            <w:tcBorders>
              <w:top w:val="nil"/>
              <w:left w:val="nil"/>
              <w:bottom w:val="nil"/>
              <w:right w:val="nil"/>
            </w:tcBorders>
            <w:shd w:val="clear" w:color="auto" w:fill="auto"/>
            <w:noWrap/>
            <w:vAlign w:val="center"/>
            <w:hideMark/>
          </w:tcPr>
          <w:p w:rsidR="000B6F69" w:rsidRPr="000B6F69" w:rsidRDefault="000B6F69" w:rsidP="000B6F69">
            <w:pPr>
              <w:jc w:val="right"/>
              <w:rPr>
                <w:color w:val="000000"/>
              </w:rPr>
            </w:pPr>
            <w:r w:rsidRPr="000B6F69">
              <w:rPr>
                <w:color w:val="000000"/>
              </w:rPr>
              <w:t>la Decizia Consiliului Raional</w:t>
            </w:r>
          </w:p>
        </w:tc>
      </w:tr>
      <w:tr w:rsidR="000B6F69" w:rsidRPr="000B6F69" w:rsidTr="000B6F69">
        <w:trPr>
          <w:trHeight w:val="315"/>
        </w:trPr>
        <w:tc>
          <w:tcPr>
            <w:tcW w:w="5802" w:type="dxa"/>
            <w:gridSpan w:val="2"/>
            <w:tcBorders>
              <w:top w:val="nil"/>
              <w:left w:val="nil"/>
              <w:bottom w:val="nil"/>
              <w:right w:val="nil"/>
            </w:tcBorders>
            <w:shd w:val="clear" w:color="auto" w:fill="auto"/>
            <w:noWrap/>
            <w:vAlign w:val="bottom"/>
            <w:hideMark/>
          </w:tcPr>
          <w:p w:rsidR="000B6F69" w:rsidRPr="000B6F69" w:rsidRDefault="000B6F69" w:rsidP="000B6F69">
            <w:pPr>
              <w:rPr>
                <w:rFonts w:ascii="Calibri" w:hAnsi="Calibri" w:cs="Calibri"/>
                <w:color w:val="000000"/>
              </w:rPr>
            </w:pPr>
          </w:p>
        </w:tc>
        <w:tc>
          <w:tcPr>
            <w:tcW w:w="3634" w:type="dxa"/>
            <w:gridSpan w:val="2"/>
            <w:tcBorders>
              <w:top w:val="nil"/>
              <w:left w:val="nil"/>
              <w:bottom w:val="nil"/>
              <w:right w:val="nil"/>
            </w:tcBorders>
            <w:shd w:val="clear" w:color="auto" w:fill="auto"/>
            <w:noWrap/>
            <w:vAlign w:val="center"/>
            <w:hideMark/>
          </w:tcPr>
          <w:p w:rsidR="000B6F69" w:rsidRPr="000B6F69" w:rsidRDefault="00B67128" w:rsidP="000B6F69">
            <w:pPr>
              <w:jc w:val="right"/>
              <w:rPr>
                <w:color w:val="000000"/>
              </w:rPr>
            </w:pPr>
            <w:r>
              <w:rPr>
                <w:color w:val="000000"/>
              </w:rPr>
              <w:t>n</w:t>
            </w:r>
            <w:r w:rsidR="000B6F69" w:rsidRPr="000B6F69">
              <w:rPr>
                <w:color w:val="000000"/>
              </w:rPr>
              <w:t xml:space="preserve">r. </w:t>
            </w:r>
            <w:r>
              <w:rPr>
                <w:color w:val="000000"/>
              </w:rPr>
              <w:t xml:space="preserve">2/3 din  07 aprilie  </w:t>
            </w:r>
            <w:r w:rsidR="000B6F69" w:rsidRPr="000B6F69">
              <w:rPr>
                <w:color w:val="000000"/>
              </w:rPr>
              <w:t>2017</w:t>
            </w:r>
          </w:p>
        </w:tc>
      </w:tr>
      <w:tr w:rsidR="000B6F69" w:rsidRPr="000B6F69" w:rsidTr="000B6F69">
        <w:trPr>
          <w:trHeight w:val="1035"/>
        </w:trPr>
        <w:tc>
          <w:tcPr>
            <w:tcW w:w="9436" w:type="dxa"/>
            <w:gridSpan w:val="4"/>
            <w:tcBorders>
              <w:top w:val="nil"/>
              <w:left w:val="nil"/>
              <w:bottom w:val="nil"/>
              <w:right w:val="nil"/>
            </w:tcBorders>
            <w:shd w:val="clear" w:color="auto" w:fill="auto"/>
            <w:vAlign w:val="center"/>
            <w:hideMark/>
          </w:tcPr>
          <w:p w:rsidR="000B6F69" w:rsidRPr="000B6F69" w:rsidRDefault="000B6F69" w:rsidP="000B6F69">
            <w:pPr>
              <w:jc w:val="center"/>
              <w:rPr>
                <w:b/>
                <w:bCs/>
                <w:color w:val="000000"/>
                <w:sz w:val="32"/>
                <w:szCs w:val="32"/>
              </w:rPr>
            </w:pPr>
            <w:r w:rsidRPr="000B6F69">
              <w:rPr>
                <w:b/>
                <w:bCs/>
                <w:color w:val="000000"/>
                <w:sz w:val="32"/>
                <w:szCs w:val="32"/>
              </w:rPr>
              <w:t>Resursele și cheltuielile bugetului local conform clasificației funcționale și pe programe de nivelul II, pentru anul 2017</w:t>
            </w:r>
          </w:p>
        </w:tc>
      </w:tr>
      <w:tr w:rsidR="000B6F69" w:rsidRPr="000B6F69" w:rsidTr="000B6F69">
        <w:trPr>
          <w:trHeight w:val="945"/>
        </w:trPr>
        <w:tc>
          <w:tcPr>
            <w:tcW w:w="58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 xml:space="preserve">Denumirea </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 xml:space="preserve">Cod </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0B6F69" w:rsidRPr="000B6F69" w:rsidRDefault="000B6F69" w:rsidP="000B6F69">
            <w:pPr>
              <w:jc w:val="center"/>
              <w:rPr>
                <w:b/>
                <w:bCs/>
                <w:color w:val="000000"/>
              </w:rPr>
            </w:pPr>
            <w:r w:rsidRPr="000B6F69">
              <w:rPr>
                <w:b/>
                <w:bCs/>
                <w:color w:val="000000"/>
              </w:rPr>
              <w:t>Bugetul adus în concordanță cu Bugetul de Stat</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center"/>
            <w:hideMark/>
          </w:tcPr>
          <w:p w:rsidR="000B6F69" w:rsidRPr="000B6F69" w:rsidRDefault="000B6F69" w:rsidP="000B6F69">
            <w:pPr>
              <w:rPr>
                <w:b/>
                <w:bCs/>
                <w:color w:val="000000"/>
              </w:rPr>
            </w:pPr>
            <w:r w:rsidRPr="000B6F69">
              <w:rPr>
                <w:b/>
                <w:bCs/>
                <w:color w:val="000000"/>
              </w:rPr>
              <w:t>Cheltuieli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b/>
                <w:bCs/>
                <w:color w:val="000000"/>
              </w:rPr>
            </w:pPr>
            <w:r w:rsidRPr="000B6F69">
              <w:rPr>
                <w:b/>
                <w:bCs/>
                <w:color w:val="000000"/>
              </w:rPr>
              <w:t>133652,0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recurente, în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(2+3)-3192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133652,0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Cheltuieli de personal, în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21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Investiții capitale, în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3192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 xml:space="preserve"> Servicii de stat cu destinație generală</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6237,8</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5962,9</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274,9</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6237,8</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Exercitarea guvernării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0301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2285,2</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Servicii de suport pentru exercitarea guvernării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0302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988,9</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Politicii și management în domeniul bugetar-fiscal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0501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1556,5</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Gestionarea fondurilor de rezerve și de intervenție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0802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1407,2</w:t>
            </w:r>
          </w:p>
        </w:tc>
      </w:tr>
      <w:tr w:rsidR="000B6F69" w:rsidRPr="000B6F69" w:rsidTr="000B6F69">
        <w:trPr>
          <w:trHeight w:val="34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Apărarea Națională</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306,3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306,3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306,3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Servicii de suport în domeniul apărării naționale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3104</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306,3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Ordine publică și Securitate Națională</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700,0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700,0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700,0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Serviciul de pompieri și salvatori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3702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700,0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 xml:space="preserve"> Servicii în domeniul economiei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F1 - 4</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11049,4</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11049,4</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11049,4</w:t>
            </w:r>
          </w:p>
        </w:tc>
      </w:tr>
      <w:tr w:rsidR="000B6F69" w:rsidRPr="000B6F69" w:rsidTr="000B6F69">
        <w:trPr>
          <w:trHeight w:val="630"/>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Politici și </w:t>
            </w:r>
            <w:proofErr w:type="spellStart"/>
            <w:r w:rsidRPr="000B6F69">
              <w:rPr>
                <w:color w:val="000000"/>
              </w:rPr>
              <w:t>managenent</w:t>
            </w:r>
            <w:proofErr w:type="spellEnd"/>
            <w:r w:rsidRPr="000B6F69">
              <w:rPr>
                <w:color w:val="000000"/>
              </w:rPr>
              <w:t xml:space="preserve"> în domeniul macroeconomic și dezvoltarea economiei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5001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444,6</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Politici și </w:t>
            </w:r>
            <w:proofErr w:type="spellStart"/>
            <w:r w:rsidRPr="000B6F69">
              <w:rPr>
                <w:color w:val="000000"/>
              </w:rPr>
              <w:t>managenent</w:t>
            </w:r>
            <w:proofErr w:type="spellEnd"/>
            <w:r w:rsidRPr="000B6F69">
              <w:rPr>
                <w:color w:val="000000"/>
              </w:rPr>
              <w:t xml:space="preserve"> în domeniul agriculturii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5101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510,8</w:t>
            </w:r>
          </w:p>
        </w:tc>
      </w:tr>
      <w:tr w:rsidR="000B6F69" w:rsidRPr="000B6F69" w:rsidTr="000B6F69">
        <w:trPr>
          <w:trHeight w:val="630"/>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Politici și </w:t>
            </w:r>
            <w:proofErr w:type="spellStart"/>
            <w:r w:rsidRPr="000B6F69">
              <w:rPr>
                <w:color w:val="000000"/>
              </w:rPr>
              <w:t>managenent</w:t>
            </w:r>
            <w:proofErr w:type="spellEnd"/>
            <w:r w:rsidRPr="000B6F69">
              <w:rPr>
                <w:color w:val="000000"/>
              </w:rPr>
              <w:t xml:space="preserve"> în domeniul dezvoltării regionale și construcțiilor</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6101</w:t>
            </w:r>
          </w:p>
        </w:tc>
        <w:tc>
          <w:tcPr>
            <w:tcW w:w="1688"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338,7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lastRenderedPageBreak/>
              <w:t xml:space="preserve">             Politici și </w:t>
            </w:r>
            <w:proofErr w:type="spellStart"/>
            <w:r w:rsidRPr="000B6F69">
              <w:rPr>
                <w:color w:val="000000"/>
              </w:rPr>
              <w:t>managenent</w:t>
            </w:r>
            <w:proofErr w:type="spellEnd"/>
            <w:r w:rsidRPr="000B6F69">
              <w:rPr>
                <w:color w:val="000000"/>
              </w:rPr>
              <w:t xml:space="preserve"> în domeniul cadastral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6901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138,7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Dezvoltarea drumurilor</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6402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9616,6</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Cultură, sport, tineret, culte și odihnă</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F1 - 8</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4105,7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4104,9</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0,8</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4105,7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Elaborare a politicii în domeniul culturii și agrementului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8501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335,0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Dezvoltare în domeniul culturii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8502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1214,0</w:t>
            </w:r>
          </w:p>
        </w:tc>
      </w:tr>
      <w:tr w:rsidR="000B6F69" w:rsidRPr="000B6F69" w:rsidTr="000B6F69">
        <w:trPr>
          <w:trHeight w:val="630"/>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Protejarea și punerea în valoare a patrimoniului cultural-național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8503</w:t>
            </w:r>
          </w:p>
        </w:tc>
        <w:tc>
          <w:tcPr>
            <w:tcW w:w="1688"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right"/>
              <w:rPr>
                <w:color w:val="000000"/>
              </w:rPr>
            </w:pPr>
            <w:r w:rsidRPr="000B6F69">
              <w:rPr>
                <w:color w:val="000000"/>
              </w:rPr>
              <w:t>436,1</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Susținerea culturii scrise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8504</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45,0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Sport</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8602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2046,2</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Tineret</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8603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29,4</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b/>
                <w:bCs/>
                <w:color w:val="000000"/>
              </w:rPr>
            </w:pPr>
            <w:proofErr w:type="spellStart"/>
            <w:r w:rsidRPr="000B6F69">
              <w:rPr>
                <w:b/>
                <w:bCs/>
                <w:color w:val="000000"/>
              </w:rPr>
              <w:t>Învățămînt</w:t>
            </w:r>
            <w:proofErr w:type="spellEnd"/>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F1 - 9</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92874,1</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92308,0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566,1</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92874,1</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Educație timpurie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8802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507,5</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w:t>
            </w:r>
            <w:proofErr w:type="spellStart"/>
            <w:r w:rsidRPr="000B6F69">
              <w:rPr>
                <w:color w:val="000000"/>
              </w:rPr>
              <w:t>Învățămînt</w:t>
            </w:r>
            <w:proofErr w:type="spellEnd"/>
            <w:r w:rsidRPr="000B6F69">
              <w:rPr>
                <w:color w:val="000000"/>
              </w:rPr>
              <w:t xml:space="preserve"> primar</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8803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472,8</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w:t>
            </w:r>
            <w:proofErr w:type="spellStart"/>
            <w:r w:rsidRPr="000B6F69">
              <w:rPr>
                <w:color w:val="000000"/>
              </w:rPr>
              <w:t>Învățămînt</w:t>
            </w:r>
            <w:proofErr w:type="spellEnd"/>
            <w:r w:rsidRPr="000B6F69">
              <w:rPr>
                <w:color w:val="000000"/>
              </w:rPr>
              <w:t xml:space="preserve"> </w:t>
            </w:r>
            <w:proofErr w:type="spellStart"/>
            <w:r w:rsidRPr="000B6F69">
              <w:rPr>
                <w:color w:val="000000"/>
              </w:rPr>
              <w:t>gimnazil</w:t>
            </w:r>
            <w:proofErr w:type="spellEnd"/>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8804</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68826,3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w:t>
            </w:r>
            <w:proofErr w:type="spellStart"/>
            <w:r w:rsidRPr="000B6F69">
              <w:rPr>
                <w:color w:val="000000"/>
              </w:rPr>
              <w:t>Învățămînt</w:t>
            </w:r>
            <w:proofErr w:type="spellEnd"/>
            <w:r w:rsidRPr="000B6F69">
              <w:rPr>
                <w:color w:val="000000"/>
              </w:rPr>
              <w:t xml:space="preserve"> liceal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8806</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14091,0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Educație extrașcolară și susținerea elevilor dotați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8814</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6210,1</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Curriculum</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8815</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125,8</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vAlign w:val="bottom"/>
            <w:hideMark/>
          </w:tcPr>
          <w:p w:rsidR="000B6F69" w:rsidRPr="000B6F69" w:rsidRDefault="000B6F69" w:rsidP="000B6F69">
            <w:pPr>
              <w:rPr>
                <w:color w:val="000000"/>
              </w:rPr>
            </w:pPr>
            <w:r w:rsidRPr="000B6F69">
              <w:rPr>
                <w:color w:val="000000"/>
              </w:rPr>
              <w:t xml:space="preserve">           Servicii generale în educație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8813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1563,2</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Politici și management în domeniul educației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8801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1077,4</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b/>
                <w:bCs/>
                <w:color w:val="000000"/>
              </w:rPr>
            </w:pPr>
            <w:r w:rsidRPr="000B6F69">
              <w:rPr>
                <w:b/>
                <w:bCs/>
                <w:color w:val="000000"/>
              </w:rPr>
              <w:t>Protecție Socială</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b/>
                <w:bCs/>
                <w:color w:val="000000"/>
              </w:rPr>
            </w:pPr>
            <w:r w:rsidRPr="000B6F69">
              <w:rPr>
                <w:b/>
                <w:bCs/>
                <w:color w:val="000000"/>
              </w:rPr>
              <w:t>F1 - 10</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total</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18378,7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generale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18228,7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Resurse colectate de autorități/instituții bugetare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S3 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150,0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Cheltuieli, total inclusiv:</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18378,7</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Asistența Socială a persoanelor cu necesități speciale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9010</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11633,3</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Protecția Familiei și Copilului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9006</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3008,0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Activitatea executivelor locale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9001</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1196,4</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Protecția Socială a unor categorii de cetățeni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9019</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494,0</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Protecția Socială în cazuri excepționale</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9012</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2027,9</w:t>
            </w:r>
          </w:p>
        </w:tc>
      </w:tr>
      <w:tr w:rsidR="000B6F69" w:rsidRPr="000B6F69" w:rsidTr="000B6F69">
        <w:trPr>
          <w:trHeight w:val="315"/>
        </w:trPr>
        <w:tc>
          <w:tcPr>
            <w:tcW w:w="5802" w:type="dxa"/>
            <w:gridSpan w:val="2"/>
            <w:tcBorders>
              <w:top w:val="nil"/>
              <w:left w:val="single" w:sz="4" w:space="0" w:color="auto"/>
              <w:bottom w:val="single" w:sz="4" w:space="0" w:color="auto"/>
              <w:right w:val="single" w:sz="4" w:space="0" w:color="auto"/>
            </w:tcBorders>
            <w:shd w:val="clear" w:color="auto" w:fill="auto"/>
            <w:noWrap/>
            <w:vAlign w:val="bottom"/>
            <w:hideMark/>
          </w:tcPr>
          <w:p w:rsidR="000B6F69" w:rsidRPr="000B6F69" w:rsidRDefault="000B6F69" w:rsidP="000B6F69">
            <w:pPr>
              <w:rPr>
                <w:color w:val="000000"/>
              </w:rPr>
            </w:pPr>
            <w:r w:rsidRPr="000B6F69">
              <w:rPr>
                <w:color w:val="000000"/>
              </w:rPr>
              <w:t xml:space="preserve">            Asigurarea egalității de șanse între femei și bărbați</w:t>
            </w:r>
          </w:p>
        </w:tc>
        <w:tc>
          <w:tcPr>
            <w:tcW w:w="1946" w:type="dxa"/>
            <w:tcBorders>
              <w:top w:val="nil"/>
              <w:left w:val="nil"/>
              <w:bottom w:val="single" w:sz="4" w:space="0" w:color="auto"/>
              <w:right w:val="single" w:sz="4" w:space="0" w:color="auto"/>
            </w:tcBorders>
            <w:shd w:val="clear" w:color="auto" w:fill="auto"/>
            <w:noWrap/>
            <w:vAlign w:val="center"/>
            <w:hideMark/>
          </w:tcPr>
          <w:p w:rsidR="000B6F69" w:rsidRPr="000B6F69" w:rsidRDefault="000B6F69" w:rsidP="000B6F69">
            <w:pPr>
              <w:jc w:val="center"/>
              <w:rPr>
                <w:color w:val="000000"/>
              </w:rPr>
            </w:pPr>
            <w:r w:rsidRPr="000B6F69">
              <w:rPr>
                <w:color w:val="000000"/>
              </w:rPr>
              <w:t>P2 9013</w:t>
            </w:r>
          </w:p>
        </w:tc>
        <w:tc>
          <w:tcPr>
            <w:tcW w:w="1688" w:type="dxa"/>
            <w:tcBorders>
              <w:top w:val="nil"/>
              <w:left w:val="nil"/>
              <w:bottom w:val="single" w:sz="4" w:space="0" w:color="auto"/>
              <w:right w:val="single" w:sz="4" w:space="0" w:color="auto"/>
            </w:tcBorders>
            <w:shd w:val="clear" w:color="auto" w:fill="auto"/>
            <w:noWrap/>
            <w:vAlign w:val="bottom"/>
            <w:hideMark/>
          </w:tcPr>
          <w:p w:rsidR="000B6F69" w:rsidRPr="000B6F69" w:rsidRDefault="000B6F69" w:rsidP="000B6F69">
            <w:pPr>
              <w:jc w:val="right"/>
              <w:rPr>
                <w:color w:val="000000"/>
              </w:rPr>
            </w:pPr>
            <w:r w:rsidRPr="000B6F69">
              <w:rPr>
                <w:color w:val="000000"/>
              </w:rPr>
              <w:t>19,1</w:t>
            </w:r>
          </w:p>
        </w:tc>
      </w:tr>
      <w:tr w:rsidR="000B6F69" w:rsidRPr="000B6F69" w:rsidTr="000B6F69">
        <w:trPr>
          <w:trHeight w:val="315"/>
        </w:trPr>
        <w:tc>
          <w:tcPr>
            <w:tcW w:w="5802" w:type="dxa"/>
            <w:gridSpan w:val="2"/>
            <w:tcBorders>
              <w:top w:val="nil"/>
              <w:left w:val="nil"/>
              <w:bottom w:val="nil"/>
              <w:right w:val="nil"/>
            </w:tcBorders>
            <w:shd w:val="clear" w:color="auto" w:fill="auto"/>
            <w:noWrap/>
            <w:vAlign w:val="bottom"/>
            <w:hideMark/>
          </w:tcPr>
          <w:p w:rsidR="000B6F69" w:rsidRPr="000B6F69" w:rsidRDefault="000B6F69" w:rsidP="000B6F69">
            <w:pPr>
              <w:rPr>
                <w:color w:val="000000"/>
              </w:rPr>
            </w:pPr>
          </w:p>
        </w:tc>
        <w:tc>
          <w:tcPr>
            <w:tcW w:w="1946" w:type="dxa"/>
            <w:tcBorders>
              <w:top w:val="nil"/>
              <w:left w:val="nil"/>
              <w:bottom w:val="nil"/>
              <w:right w:val="nil"/>
            </w:tcBorders>
            <w:shd w:val="clear" w:color="auto" w:fill="auto"/>
            <w:noWrap/>
            <w:vAlign w:val="center"/>
            <w:hideMark/>
          </w:tcPr>
          <w:p w:rsidR="000B6F69" w:rsidRPr="000B6F69" w:rsidRDefault="000B6F69" w:rsidP="000B6F69">
            <w:pPr>
              <w:jc w:val="center"/>
              <w:rPr>
                <w:color w:val="000000"/>
              </w:rPr>
            </w:pPr>
          </w:p>
        </w:tc>
        <w:tc>
          <w:tcPr>
            <w:tcW w:w="1688" w:type="dxa"/>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RPr="000B6F69" w:rsidTr="000B6F69">
        <w:trPr>
          <w:gridAfter w:val="3"/>
          <w:wAfter w:w="7748" w:type="dxa"/>
          <w:trHeight w:val="315"/>
        </w:trPr>
        <w:tc>
          <w:tcPr>
            <w:tcW w:w="1688" w:type="dxa"/>
            <w:tcBorders>
              <w:top w:val="nil"/>
              <w:left w:val="nil"/>
              <w:bottom w:val="nil"/>
              <w:right w:val="nil"/>
            </w:tcBorders>
            <w:shd w:val="clear" w:color="auto" w:fill="auto"/>
            <w:noWrap/>
            <w:vAlign w:val="bottom"/>
            <w:hideMark/>
          </w:tcPr>
          <w:p w:rsidR="000B6F69" w:rsidRPr="000B6F69" w:rsidRDefault="000B6F69" w:rsidP="000B6F69">
            <w:pPr>
              <w:rPr>
                <w:color w:val="000000"/>
              </w:rPr>
            </w:pPr>
          </w:p>
        </w:tc>
      </w:tr>
      <w:tr w:rsidR="000B6F69" w:rsidRPr="000B6F69" w:rsidTr="000B6F69">
        <w:trPr>
          <w:trHeight w:val="375"/>
        </w:trPr>
        <w:tc>
          <w:tcPr>
            <w:tcW w:w="9436" w:type="dxa"/>
            <w:gridSpan w:val="4"/>
            <w:tcBorders>
              <w:top w:val="nil"/>
              <w:left w:val="nil"/>
              <w:bottom w:val="nil"/>
              <w:right w:val="nil"/>
            </w:tcBorders>
            <w:shd w:val="clear" w:color="auto" w:fill="auto"/>
            <w:noWrap/>
            <w:vAlign w:val="bottom"/>
            <w:hideMark/>
          </w:tcPr>
          <w:p w:rsidR="000B6F69" w:rsidRPr="000B6F69" w:rsidRDefault="000B6F69" w:rsidP="000B6F69">
            <w:pPr>
              <w:jc w:val="center"/>
              <w:rPr>
                <w:b/>
                <w:bCs/>
                <w:color w:val="000000"/>
                <w:sz w:val="28"/>
                <w:szCs w:val="28"/>
              </w:rPr>
            </w:pPr>
            <w:r w:rsidRPr="000B6F69">
              <w:rPr>
                <w:b/>
                <w:bCs/>
                <w:color w:val="000000"/>
                <w:sz w:val="28"/>
                <w:szCs w:val="28"/>
              </w:rPr>
              <w:t>Șeful Direcției Finanțe                                                         L. Darii</w:t>
            </w:r>
          </w:p>
        </w:tc>
      </w:tr>
    </w:tbl>
    <w:p w:rsidR="000D167D" w:rsidRPr="00F3287D" w:rsidRDefault="000D167D" w:rsidP="000B6F69">
      <w:pPr>
        <w:jc w:val="both"/>
        <w:rPr>
          <w:b/>
        </w:rPr>
      </w:pPr>
    </w:p>
    <w:sectPr w:rsidR="000D167D" w:rsidRPr="00F3287D" w:rsidSect="00F3287D">
      <w:pgSz w:w="12240" w:h="15840"/>
      <w:pgMar w:top="426" w:right="616" w:bottom="568"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048258"/>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4F845F5"/>
    <w:multiLevelType w:val="hybridMultilevel"/>
    <w:tmpl w:val="916C5334"/>
    <w:lvl w:ilvl="0" w:tplc="E7C87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1665F8"/>
    <w:multiLevelType w:val="hybridMultilevel"/>
    <w:tmpl w:val="AEA45A02"/>
    <w:lvl w:ilvl="0" w:tplc="F7482520">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0EC1B79"/>
    <w:multiLevelType w:val="hybridMultilevel"/>
    <w:tmpl w:val="C2027E7A"/>
    <w:lvl w:ilvl="0" w:tplc="58587C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2D4979"/>
    <w:rsid w:val="00041AD4"/>
    <w:rsid w:val="00044BF5"/>
    <w:rsid w:val="000604B9"/>
    <w:rsid w:val="000A583F"/>
    <w:rsid w:val="000B6F69"/>
    <w:rsid w:val="000C4E1B"/>
    <w:rsid w:val="000D167D"/>
    <w:rsid w:val="000F46A1"/>
    <w:rsid w:val="00164B20"/>
    <w:rsid w:val="001B0CCC"/>
    <w:rsid w:val="001C53D5"/>
    <w:rsid w:val="001C654C"/>
    <w:rsid w:val="001D33E1"/>
    <w:rsid w:val="001E6138"/>
    <w:rsid w:val="00210A08"/>
    <w:rsid w:val="00211B48"/>
    <w:rsid w:val="00233024"/>
    <w:rsid w:val="00247517"/>
    <w:rsid w:val="00274462"/>
    <w:rsid w:val="00277890"/>
    <w:rsid w:val="002976FD"/>
    <w:rsid w:val="002A1342"/>
    <w:rsid w:val="002A2346"/>
    <w:rsid w:val="002A2BFD"/>
    <w:rsid w:val="002B4006"/>
    <w:rsid w:val="002D4979"/>
    <w:rsid w:val="002D5807"/>
    <w:rsid w:val="002E4DE7"/>
    <w:rsid w:val="003027E2"/>
    <w:rsid w:val="00315AF3"/>
    <w:rsid w:val="00332F72"/>
    <w:rsid w:val="003B1615"/>
    <w:rsid w:val="003C36FC"/>
    <w:rsid w:val="003D41CE"/>
    <w:rsid w:val="003D7170"/>
    <w:rsid w:val="004077F0"/>
    <w:rsid w:val="00432B5A"/>
    <w:rsid w:val="0047351B"/>
    <w:rsid w:val="00476812"/>
    <w:rsid w:val="0049372D"/>
    <w:rsid w:val="004A12D3"/>
    <w:rsid w:val="004A35B1"/>
    <w:rsid w:val="004D2B13"/>
    <w:rsid w:val="004E7E47"/>
    <w:rsid w:val="004F602B"/>
    <w:rsid w:val="00527313"/>
    <w:rsid w:val="005468CB"/>
    <w:rsid w:val="00547D08"/>
    <w:rsid w:val="00560E42"/>
    <w:rsid w:val="00573310"/>
    <w:rsid w:val="00587E47"/>
    <w:rsid w:val="005937A4"/>
    <w:rsid w:val="00596887"/>
    <w:rsid w:val="005A2F75"/>
    <w:rsid w:val="005D2E8D"/>
    <w:rsid w:val="005F25F9"/>
    <w:rsid w:val="00623595"/>
    <w:rsid w:val="0062644C"/>
    <w:rsid w:val="006358C3"/>
    <w:rsid w:val="0066110C"/>
    <w:rsid w:val="00674D44"/>
    <w:rsid w:val="006948D2"/>
    <w:rsid w:val="006A2964"/>
    <w:rsid w:val="006A7C03"/>
    <w:rsid w:val="006D470E"/>
    <w:rsid w:val="007144D2"/>
    <w:rsid w:val="00714EA5"/>
    <w:rsid w:val="0071562D"/>
    <w:rsid w:val="007430F8"/>
    <w:rsid w:val="00751A19"/>
    <w:rsid w:val="007A14A7"/>
    <w:rsid w:val="007A1CFE"/>
    <w:rsid w:val="00817B94"/>
    <w:rsid w:val="00847876"/>
    <w:rsid w:val="00867173"/>
    <w:rsid w:val="00870679"/>
    <w:rsid w:val="008822C9"/>
    <w:rsid w:val="008A5618"/>
    <w:rsid w:val="008B66D0"/>
    <w:rsid w:val="008C0166"/>
    <w:rsid w:val="008E1744"/>
    <w:rsid w:val="00902099"/>
    <w:rsid w:val="00933EBA"/>
    <w:rsid w:val="0095533D"/>
    <w:rsid w:val="009610DE"/>
    <w:rsid w:val="00977CE9"/>
    <w:rsid w:val="0099662F"/>
    <w:rsid w:val="009B1B17"/>
    <w:rsid w:val="009B64E5"/>
    <w:rsid w:val="009E0B9C"/>
    <w:rsid w:val="009F3D34"/>
    <w:rsid w:val="00A04FB0"/>
    <w:rsid w:val="00A179A8"/>
    <w:rsid w:val="00A613F9"/>
    <w:rsid w:val="00A86D2A"/>
    <w:rsid w:val="00A92D8E"/>
    <w:rsid w:val="00AF2DAA"/>
    <w:rsid w:val="00B102A5"/>
    <w:rsid w:val="00B11AD6"/>
    <w:rsid w:val="00B13325"/>
    <w:rsid w:val="00B67128"/>
    <w:rsid w:val="00B94F12"/>
    <w:rsid w:val="00BB2821"/>
    <w:rsid w:val="00BB318B"/>
    <w:rsid w:val="00BE0CEC"/>
    <w:rsid w:val="00BE5183"/>
    <w:rsid w:val="00BF1826"/>
    <w:rsid w:val="00C02FB4"/>
    <w:rsid w:val="00C05B22"/>
    <w:rsid w:val="00C158EC"/>
    <w:rsid w:val="00C332A8"/>
    <w:rsid w:val="00C66CCD"/>
    <w:rsid w:val="00C85C7E"/>
    <w:rsid w:val="00C87F12"/>
    <w:rsid w:val="00CA386F"/>
    <w:rsid w:val="00CA78AE"/>
    <w:rsid w:val="00D00F20"/>
    <w:rsid w:val="00D17A17"/>
    <w:rsid w:val="00D57271"/>
    <w:rsid w:val="00D57AF9"/>
    <w:rsid w:val="00DA02CD"/>
    <w:rsid w:val="00DB12AF"/>
    <w:rsid w:val="00DC68D3"/>
    <w:rsid w:val="00DE39CE"/>
    <w:rsid w:val="00DF0B44"/>
    <w:rsid w:val="00E00D8D"/>
    <w:rsid w:val="00E23303"/>
    <w:rsid w:val="00E270C1"/>
    <w:rsid w:val="00E31C75"/>
    <w:rsid w:val="00E437E3"/>
    <w:rsid w:val="00E64A61"/>
    <w:rsid w:val="00E666EE"/>
    <w:rsid w:val="00E95529"/>
    <w:rsid w:val="00EA24F4"/>
    <w:rsid w:val="00EE58B0"/>
    <w:rsid w:val="00F11B34"/>
    <w:rsid w:val="00F3287D"/>
    <w:rsid w:val="00F35667"/>
    <w:rsid w:val="00F63B90"/>
    <w:rsid w:val="00FA7650"/>
    <w:rsid w:val="00FB2EA9"/>
    <w:rsid w:val="00FB3081"/>
    <w:rsid w:val="00FC0142"/>
    <w:rsid w:val="00FC2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paragraph" w:styleId="Listcumarcatori">
    <w:name w:val="List Bullet"/>
    <w:basedOn w:val="Normal"/>
    <w:uiPriority w:val="99"/>
    <w:unhideWhenUsed/>
    <w:rsid w:val="00674D44"/>
    <w:pPr>
      <w:numPr>
        <w:numId w:val="5"/>
      </w:numPr>
      <w:contextualSpacing/>
    </w:pPr>
    <w:rPr>
      <w:sz w:val="20"/>
      <w:szCs w:val="20"/>
      <w:lang w:eastAsia="ru-RU"/>
    </w:rPr>
  </w:style>
  <w:style w:type="table" w:styleId="GrilTabel">
    <w:name w:val="Table Grid"/>
    <w:basedOn w:val="TabelNormal"/>
    <w:uiPriority w:val="59"/>
    <w:rsid w:val="005A2F75"/>
    <w:pPr>
      <w:spacing w:after="0" w:line="240" w:lineRule="auto"/>
    </w:pPr>
    <w:rPr>
      <w:rFonts w:ascii="Times New Roman" w:eastAsia="Times New Roman" w:hAnsi="Times New Roman" w:cs="Times New Roman"/>
      <w:sz w:val="20"/>
      <w:szCs w:val="20"/>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0177">
      <w:bodyDiv w:val="1"/>
      <w:marLeft w:val="0"/>
      <w:marRight w:val="0"/>
      <w:marTop w:val="0"/>
      <w:marBottom w:val="0"/>
      <w:divBdr>
        <w:top w:val="none" w:sz="0" w:space="0" w:color="auto"/>
        <w:left w:val="none" w:sz="0" w:space="0" w:color="auto"/>
        <w:bottom w:val="none" w:sz="0" w:space="0" w:color="auto"/>
        <w:right w:val="none" w:sz="0" w:space="0" w:color="auto"/>
      </w:divBdr>
    </w:div>
    <w:div w:id="935357625">
      <w:bodyDiv w:val="1"/>
      <w:marLeft w:val="0"/>
      <w:marRight w:val="0"/>
      <w:marTop w:val="0"/>
      <w:marBottom w:val="0"/>
      <w:divBdr>
        <w:top w:val="none" w:sz="0" w:space="0" w:color="auto"/>
        <w:left w:val="none" w:sz="0" w:space="0" w:color="auto"/>
        <w:bottom w:val="none" w:sz="0" w:space="0" w:color="auto"/>
        <w:right w:val="none" w:sz="0" w:space="0" w:color="auto"/>
      </w:divBdr>
    </w:div>
    <w:div w:id="1101220523">
      <w:bodyDiv w:val="1"/>
      <w:marLeft w:val="0"/>
      <w:marRight w:val="0"/>
      <w:marTop w:val="0"/>
      <w:marBottom w:val="0"/>
      <w:divBdr>
        <w:top w:val="none" w:sz="0" w:space="0" w:color="auto"/>
        <w:left w:val="none" w:sz="0" w:space="0" w:color="auto"/>
        <w:bottom w:val="none" w:sz="0" w:space="0" w:color="auto"/>
        <w:right w:val="none" w:sz="0" w:space="0" w:color="auto"/>
      </w:divBdr>
    </w:div>
    <w:div w:id="12429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ctelocale.md"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telenesti.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telenesti.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siliul@telenesti.md" TargetMode="External"/><Relationship Id="rId4" Type="http://schemas.microsoft.com/office/2007/relationships/stylesWithEffects" Target="stylesWithEffects.xml"/><Relationship Id="rId9" Type="http://schemas.openxmlformats.org/officeDocument/2006/relationships/hyperlink" Target="http://www.telenesti.md"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C5822-0F32-4229-8BCF-F1D0CCE0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1665</Words>
  <Characters>9663</Characters>
  <Application>Microsoft Office Word</Application>
  <DocSecurity>0</DocSecurity>
  <Lines>80</Lines>
  <Paragraphs>22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Utilizator Windows</cp:lastModifiedBy>
  <cp:revision>6</cp:revision>
  <cp:lastPrinted>2017-04-11T06:14:00Z</cp:lastPrinted>
  <dcterms:created xsi:type="dcterms:W3CDTF">2017-04-04T12:54:00Z</dcterms:created>
  <dcterms:modified xsi:type="dcterms:W3CDTF">2017-04-11T06:15:00Z</dcterms:modified>
</cp:coreProperties>
</file>