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25" w:rsidRPr="00C032F3" w:rsidRDefault="00427C25" w:rsidP="00427C25">
      <w:pPr>
        <w:tabs>
          <w:tab w:val="left" w:pos="-426"/>
          <w:tab w:val="left" w:pos="284"/>
          <w:tab w:val="left" w:pos="900"/>
        </w:tabs>
        <w:ind w:left="567" w:right="282"/>
        <w:jc w:val="right"/>
        <w:rPr>
          <w:rFonts w:ascii="Calibri" w:hAnsi="Calibri"/>
          <w:lang w:val="ro-RO"/>
        </w:rPr>
      </w:pPr>
      <w:r w:rsidRPr="00C032F3">
        <w:rPr>
          <w:b/>
          <w:noProof/>
          <w:lang w:val="ro-RO" w:eastAsia="ro-RO"/>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587375" cy="695960"/>
            <wp:effectExtent l="19050" t="0" r="3175"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cstate="print"/>
                    <a:srcRect/>
                    <a:stretch>
                      <a:fillRect/>
                    </a:stretch>
                  </pic:blipFill>
                  <pic:spPr bwMode="auto">
                    <a:xfrm>
                      <a:off x="0" y="0"/>
                      <a:ext cx="587375" cy="695960"/>
                    </a:xfrm>
                    <a:prstGeom prst="rect">
                      <a:avLst/>
                    </a:prstGeom>
                    <a:noFill/>
                    <a:ln w="9525">
                      <a:noFill/>
                      <a:miter lim="800000"/>
                      <a:headEnd/>
                      <a:tailEnd/>
                    </a:ln>
                  </pic:spPr>
                </pic:pic>
              </a:graphicData>
            </a:graphic>
          </wp:anchor>
        </w:drawing>
      </w:r>
      <w:r>
        <w:rPr>
          <w:b/>
          <w:noProof/>
          <w:lang w:val="ro-RO"/>
        </w:rPr>
        <w:t xml:space="preserve">     </w:t>
      </w:r>
      <w:r w:rsidRPr="00C032F3">
        <w:rPr>
          <w:b/>
          <w:noProof/>
          <w:lang w:val="ro-RO"/>
        </w:rPr>
        <w:t xml:space="preserve">          </w:t>
      </w:r>
      <w:r w:rsidRPr="00C032F3">
        <w:rPr>
          <w:b/>
          <w:noProof/>
          <w:lang w:val="ro-RO" w:eastAsia="ro-RO"/>
        </w:rPr>
        <w:drawing>
          <wp:anchor distT="0" distB="0" distL="114300" distR="114300" simplePos="0" relativeHeight="251660288" behindDoc="0" locked="0" layoutInCell="1" allowOverlap="1">
            <wp:simplePos x="0" y="0"/>
            <wp:positionH relativeFrom="column">
              <wp:posOffset>4829352</wp:posOffset>
            </wp:positionH>
            <wp:positionV relativeFrom="paragraph">
              <wp:posOffset>2924</wp:posOffset>
            </wp:positionV>
            <wp:extent cx="928355" cy="701749"/>
            <wp:effectExtent l="19050" t="0" r="5095" b="0"/>
            <wp:wrapSquare wrapText="bothSides"/>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28355" cy="701749"/>
                    </a:xfrm>
                    <a:prstGeom prst="rect">
                      <a:avLst/>
                    </a:prstGeom>
                    <a:noFill/>
                    <a:ln w="9525">
                      <a:noFill/>
                      <a:miter lim="800000"/>
                      <a:headEnd/>
                      <a:tailEnd/>
                    </a:ln>
                  </pic:spPr>
                </pic:pic>
              </a:graphicData>
            </a:graphic>
          </wp:anchor>
        </w:drawing>
      </w:r>
    </w:p>
    <w:p w:rsidR="00427C25" w:rsidRPr="00C032F3" w:rsidRDefault="00427C25" w:rsidP="00427C25">
      <w:pPr>
        <w:tabs>
          <w:tab w:val="left" w:pos="2410"/>
          <w:tab w:val="right" w:pos="9214"/>
        </w:tabs>
        <w:spacing w:after="0"/>
        <w:jc w:val="center"/>
        <w:outlineLvl w:val="1"/>
        <w:rPr>
          <w:rFonts w:ascii="Times New Roman" w:hAnsi="Times New Roman" w:cs="Times New Roman"/>
          <w:b/>
          <w:sz w:val="36"/>
          <w:lang w:val="ro-RO"/>
        </w:rPr>
      </w:pPr>
      <w:r w:rsidRPr="00C032F3">
        <w:rPr>
          <w:rFonts w:ascii="Times New Roman" w:hAnsi="Times New Roman" w:cs="Times New Roman"/>
          <w:b/>
          <w:sz w:val="36"/>
          <w:lang w:val="ro-RO"/>
        </w:rPr>
        <w:t>REPUBLICA MOLDOVA</w:t>
      </w:r>
    </w:p>
    <w:p w:rsidR="00427C25" w:rsidRPr="00C032F3" w:rsidRDefault="00427C25" w:rsidP="00427C25">
      <w:pPr>
        <w:tabs>
          <w:tab w:val="left" w:pos="2410"/>
          <w:tab w:val="right" w:pos="9214"/>
        </w:tabs>
        <w:spacing w:after="0"/>
        <w:jc w:val="center"/>
        <w:outlineLvl w:val="1"/>
        <w:rPr>
          <w:rFonts w:ascii="Times New Roman" w:hAnsi="Times New Roman" w:cs="Times New Roman"/>
          <w:b/>
          <w:sz w:val="28"/>
          <w:lang w:val="ro-RO"/>
        </w:rPr>
      </w:pPr>
      <w:r w:rsidRPr="00C032F3">
        <w:rPr>
          <w:rFonts w:ascii="Times New Roman" w:hAnsi="Times New Roman" w:cs="Times New Roman"/>
          <w:b/>
          <w:sz w:val="28"/>
          <w:lang w:val="ro-RO"/>
        </w:rPr>
        <w:t xml:space="preserve">CONSILIUL RAIONAL TELENEȘTI    </w:t>
      </w:r>
    </w:p>
    <w:p w:rsidR="00427C25" w:rsidRPr="00C032F3" w:rsidRDefault="00427C25" w:rsidP="00427C25">
      <w:pPr>
        <w:spacing w:after="120"/>
        <w:jc w:val="center"/>
        <w:outlineLvl w:val="1"/>
        <w:rPr>
          <w:rFonts w:ascii="Times New Roman" w:hAnsi="Times New Roman" w:cs="Times New Roman"/>
          <w:sz w:val="20"/>
          <w:szCs w:val="20"/>
          <w:lang w:val="ro-RO"/>
        </w:rPr>
      </w:pPr>
      <w:r w:rsidRPr="00C032F3">
        <w:rPr>
          <w:rFonts w:ascii="Times New Roman" w:hAnsi="Times New Roman" w:cs="Times New Roman"/>
          <w:lang w:val="ro-RO"/>
        </w:rPr>
        <w:t xml:space="preserve"> </w:t>
      </w:r>
      <w:r w:rsidRPr="00C032F3">
        <w:rPr>
          <w:rFonts w:ascii="Times New Roman" w:hAnsi="Times New Roman" w:cs="Times New Roman"/>
          <w:sz w:val="20"/>
          <w:szCs w:val="20"/>
          <w:lang w:val="ro-RO"/>
        </w:rPr>
        <w:t>MD-5801, or. Teleneşti, str.31 August, 9 tel: (258)2-20-58, 2-26-50, fax: 2-24-50</w:t>
      </w:r>
    </w:p>
    <w:p w:rsidR="00427C25" w:rsidRPr="00C032F3" w:rsidRDefault="00D5039B" w:rsidP="00427C25">
      <w:pPr>
        <w:spacing w:after="0"/>
        <w:jc w:val="center"/>
        <w:outlineLvl w:val="1"/>
        <w:rPr>
          <w:rFonts w:ascii="Times New Roman" w:hAnsi="Times New Roman" w:cs="Times New Roman"/>
          <w:lang w:val="ro-RO"/>
        </w:rPr>
      </w:pPr>
      <w:hyperlink r:id="rId8" w:history="1">
        <w:r w:rsidR="00427C25" w:rsidRPr="00C032F3">
          <w:rPr>
            <w:rFonts w:ascii="Times New Roman" w:hAnsi="Times New Roman" w:cs="Times New Roman"/>
            <w:color w:val="0000FF"/>
            <w:sz w:val="18"/>
            <w:szCs w:val="20"/>
            <w:u w:val="single"/>
            <w:lang w:val="ro-RO"/>
          </w:rPr>
          <w:t>www.telenesti.md</w:t>
        </w:r>
      </w:hyperlink>
      <w:r w:rsidR="00427C25" w:rsidRPr="00C032F3">
        <w:rPr>
          <w:rFonts w:ascii="Times New Roman" w:hAnsi="Times New Roman" w:cs="Times New Roman"/>
          <w:color w:val="0000FF"/>
          <w:sz w:val="18"/>
          <w:szCs w:val="20"/>
          <w:u w:val="single"/>
          <w:lang w:val="ro-RO"/>
        </w:rPr>
        <w:t>,</w:t>
      </w:r>
      <w:r w:rsidR="00427C25" w:rsidRPr="00C032F3">
        <w:rPr>
          <w:rFonts w:ascii="Times New Roman" w:hAnsi="Times New Roman" w:cs="Times New Roman"/>
          <w:color w:val="0000FF"/>
          <w:sz w:val="18"/>
          <w:szCs w:val="20"/>
          <w:lang w:val="ro-RO"/>
        </w:rPr>
        <w:t xml:space="preserve"> </w:t>
      </w:r>
      <w:r w:rsidR="00227A3C">
        <w:rPr>
          <w:rFonts w:ascii="Times New Roman" w:hAnsi="Times New Roman" w:cs="Times New Roman"/>
          <w:color w:val="0000FF"/>
          <w:sz w:val="18"/>
          <w:szCs w:val="20"/>
          <w:lang w:val="ro-RO"/>
        </w:rPr>
        <w:t xml:space="preserve">  </w:t>
      </w:r>
      <w:proofErr w:type="spellStart"/>
      <w:r w:rsidR="00227A3C" w:rsidRPr="00227A3C">
        <w:rPr>
          <w:rFonts w:ascii="Times New Roman" w:eastAsia="Calibri" w:hAnsi="Times New Roman" w:cs="Times New Roman"/>
          <w:color w:val="0000FF"/>
          <w:sz w:val="18"/>
          <w:szCs w:val="20"/>
          <w:u w:val="single"/>
          <w:lang w:val="ro-RO" w:eastAsia="ru-RU"/>
        </w:rPr>
        <w:t>consiliul.raional-telenesti</w:t>
      </w:r>
      <w:proofErr w:type="spellEnd"/>
      <w:r w:rsidR="00227A3C" w:rsidRPr="00227A3C">
        <w:rPr>
          <w:rFonts w:ascii="Times New Roman" w:eastAsia="Calibri" w:hAnsi="Times New Roman" w:cs="Times New Roman"/>
          <w:color w:val="0000FF"/>
          <w:sz w:val="18"/>
          <w:szCs w:val="20"/>
          <w:u w:val="single"/>
          <w:lang w:val="ro-RO" w:eastAsia="ru-RU"/>
        </w:rPr>
        <w:t>@</w:t>
      </w:r>
      <w:proofErr w:type="spellStart"/>
      <w:r w:rsidR="00227A3C" w:rsidRPr="00227A3C">
        <w:rPr>
          <w:rFonts w:ascii="Times New Roman" w:eastAsia="Calibri" w:hAnsi="Times New Roman" w:cs="Times New Roman"/>
          <w:color w:val="0000FF"/>
          <w:sz w:val="18"/>
          <w:szCs w:val="20"/>
          <w:u w:val="single"/>
          <w:lang w:val="ro-RO" w:eastAsia="ru-RU"/>
        </w:rPr>
        <w:t>apl.gov.md</w:t>
      </w:r>
      <w:proofErr w:type="spellEnd"/>
      <w:r w:rsidR="00427C25" w:rsidRPr="00C032F3">
        <w:rPr>
          <w:rFonts w:ascii="Times New Roman" w:hAnsi="Times New Roman" w:cs="Times New Roman"/>
          <w:sz w:val="18"/>
          <w:szCs w:val="20"/>
          <w:lang w:val="ro-RO"/>
        </w:rPr>
        <w:t xml:space="preserve"> </w:t>
      </w:r>
      <w:hyperlink r:id="rId9" w:history="1">
        <w:r w:rsidR="00427C25" w:rsidRPr="00C032F3">
          <w:rPr>
            <w:rFonts w:ascii="Times New Roman" w:hAnsi="Times New Roman" w:cs="Times New Roman"/>
            <w:color w:val="0000FF"/>
            <w:sz w:val="18"/>
            <w:szCs w:val="20"/>
            <w:u w:val="single"/>
            <w:lang w:val="ro-RO"/>
          </w:rPr>
          <w:t>consiliul@telenesti.md</w:t>
        </w:r>
      </w:hyperlink>
    </w:p>
    <w:p w:rsidR="00427C25" w:rsidRPr="00C032F3" w:rsidRDefault="00D5039B" w:rsidP="00427C25">
      <w:pPr>
        <w:spacing w:after="0"/>
        <w:rPr>
          <w:rFonts w:ascii="Times New Roman" w:hAnsi="Times New Roman" w:cs="Times New Roman"/>
          <w:lang w:val="ro-RO"/>
        </w:rPr>
      </w:pPr>
      <w:r>
        <w:rPr>
          <w:rFonts w:ascii="Times New Roman" w:hAnsi="Times New Roman" w:cs="Times New Roman"/>
          <w:lang w:val="ro-RO"/>
        </w:rPr>
        <w:pict>
          <v:rect id="_x0000_i1025" style="width:488.9pt;height:1.75pt" o:hrpct="958" o:hralign="center" o:hrstd="t" o:hr="t" fillcolor="#a0a0a0" stroked="f">
            <v:imagedata r:id="rId10" o:title=""/>
          </v:rect>
        </w:pict>
      </w:r>
    </w:p>
    <w:p w:rsidR="00427C25" w:rsidRPr="00C032F3" w:rsidRDefault="00427C25" w:rsidP="00C01F75">
      <w:pPr>
        <w:spacing w:after="0" w:line="240" w:lineRule="auto"/>
        <w:jc w:val="center"/>
        <w:rPr>
          <w:rFonts w:ascii="Times New Roman" w:hAnsi="Times New Roman" w:cs="Times New Roman"/>
          <w:sz w:val="24"/>
          <w:szCs w:val="24"/>
          <w:lang w:val="ro-RO"/>
        </w:rPr>
      </w:pPr>
      <w:r w:rsidRPr="00C032F3">
        <w:rPr>
          <w:rFonts w:ascii="Times New Roman" w:hAnsi="Times New Roman" w:cs="Times New Roman"/>
          <w:sz w:val="24"/>
          <w:szCs w:val="24"/>
          <w:lang w:val="ro-RO"/>
        </w:rPr>
        <w:t xml:space="preserve">                                                                                                                                           Proiect</w:t>
      </w:r>
    </w:p>
    <w:p w:rsidR="00427C25" w:rsidRPr="00227A3C" w:rsidRDefault="00427C25" w:rsidP="00C01F75">
      <w:pPr>
        <w:spacing w:after="0" w:line="240" w:lineRule="auto"/>
        <w:jc w:val="center"/>
        <w:rPr>
          <w:rFonts w:ascii="Times New Roman" w:hAnsi="Times New Roman" w:cs="Times New Roman"/>
          <w:b/>
          <w:sz w:val="24"/>
          <w:szCs w:val="24"/>
          <w:lang w:val="ro-RO"/>
        </w:rPr>
      </w:pPr>
      <w:r w:rsidRPr="00227A3C">
        <w:rPr>
          <w:rFonts w:ascii="Times New Roman" w:hAnsi="Times New Roman" w:cs="Times New Roman"/>
          <w:b/>
          <w:sz w:val="24"/>
          <w:szCs w:val="24"/>
          <w:lang w:val="ro-RO"/>
        </w:rPr>
        <w:t xml:space="preserve">DECIZIA nr. </w:t>
      </w:r>
      <w:r w:rsidR="004718EF" w:rsidRPr="00227A3C">
        <w:rPr>
          <w:rFonts w:ascii="Times New Roman" w:hAnsi="Times New Roman" w:cs="Times New Roman"/>
          <w:b/>
          <w:sz w:val="24"/>
          <w:szCs w:val="24"/>
          <w:lang w:val="ro-RO"/>
        </w:rPr>
        <w:t>3</w:t>
      </w:r>
      <w:r w:rsidRPr="00227A3C">
        <w:rPr>
          <w:rFonts w:ascii="Times New Roman" w:hAnsi="Times New Roman" w:cs="Times New Roman"/>
          <w:b/>
          <w:sz w:val="24"/>
          <w:szCs w:val="24"/>
          <w:lang w:val="ro-RO"/>
        </w:rPr>
        <w:t>/</w:t>
      </w:r>
    </w:p>
    <w:p w:rsidR="00427C25" w:rsidRPr="00C032F3" w:rsidRDefault="00A3541F" w:rsidP="00C01F75">
      <w:pPr>
        <w:spacing w:after="0" w:line="240" w:lineRule="auto"/>
        <w:jc w:val="both"/>
        <w:rPr>
          <w:rFonts w:ascii="Times New Roman" w:hAnsi="Times New Roman" w:cs="Times New Roman"/>
          <w:lang w:val="ro-RO"/>
        </w:rPr>
      </w:pPr>
      <w:r>
        <w:rPr>
          <w:rFonts w:ascii="Times New Roman" w:hAnsi="Times New Roman" w:cs="Times New Roman"/>
          <w:lang w:val="ro-RO"/>
        </w:rPr>
        <w:t xml:space="preserve">    </w:t>
      </w:r>
      <w:r w:rsidR="00427C25">
        <w:rPr>
          <w:rFonts w:ascii="Times New Roman" w:hAnsi="Times New Roman" w:cs="Times New Roman"/>
          <w:lang w:val="ro-RO"/>
        </w:rPr>
        <w:t xml:space="preserve">din </w:t>
      </w:r>
      <w:r w:rsidR="004718EF">
        <w:rPr>
          <w:rFonts w:ascii="Times New Roman" w:hAnsi="Times New Roman" w:cs="Times New Roman"/>
          <w:lang w:val="ro-RO"/>
        </w:rPr>
        <w:t>29 iulie 2025</w:t>
      </w:r>
    </w:p>
    <w:p w:rsidR="00E5715C" w:rsidRDefault="00E5715C" w:rsidP="00C01F75">
      <w:pPr>
        <w:spacing w:after="0" w:line="240" w:lineRule="auto"/>
        <w:textAlignment w:val="baseline"/>
        <w:rPr>
          <w:rFonts w:ascii="Times New Roman" w:eastAsia="Times New Roman" w:hAnsi="Times New Roman" w:cs="Times New Roman"/>
          <w:b/>
          <w:sz w:val="24"/>
          <w:szCs w:val="24"/>
          <w:lang w:val="ro-RO" w:eastAsia="ro-RO"/>
        </w:rPr>
      </w:pPr>
    </w:p>
    <w:p w:rsidR="00FE0FCC" w:rsidRPr="00A3541F" w:rsidRDefault="00A3541F" w:rsidP="00C01F75">
      <w:pPr>
        <w:spacing w:after="0" w:line="240" w:lineRule="auto"/>
        <w:textAlignment w:val="baseline"/>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6"/>
          <w:szCs w:val="26"/>
          <w:lang w:val="ro-RO" w:eastAsia="ro-RO"/>
        </w:rPr>
        <w:t xml:space="preserve">       </w:t>
      </w:r>
      <w:r w:rsidR="002A3C44" w:rsidRPr="00A3541F">
        <w:rPr>
          <w:rFonts w:ascii="Times New Roman" w:eastAsia="Times New Roman" w:hAnsi="Times New Roman" w:cs="Times New Roman"/>
          <w:b/>
          <w:sz w:val="24"/>
          <w:szCs w:val="24"/>
          <w:lang w:val="ro-RO" w:eastAsia="ro-RO"/>
        </w:rPr>
        <w:t>Privind</w:t>
      </w:r>
      <w:r w:rsidR="00427C25" w:rsidRPr="00A3541F">
        <w:rPr>
          <w:rFonts w:ascii="Times New Roman" w:eastAsia="Times New Roman" w:hAnsi="Times New Roman" w:cs="Times New Roman"/>
          <w:b/>
          <w:sz w:val="24"/>
          <w:szCs w:val="24"/>
          <w:lang w:val="ro-RO" w:eastAsia="ro-RO"/>
        </w:rPr>
        <w:t xml:space="preserve"> raportul de executare al bugetului</w:t>
      </w:r>
    </w:p>
    <w:p w:rsidR="00350329" w:rsidRPr="00A3541F" w:rsidRDefault="00A3541F" w:rsidP="00227A3C">
      <w:pPr>
        <w:spacing w:after="120" w:line="240" w:lineRule="auto"/>
        <w:textAlignment w:val="baseline"/>
        <w:rPr>
          <w:rFonts w:ascii="Times New Roman" w:hAnsi="Times New Roman" w:cs="Times New Roman"/>
          <w:sz w:val="24"/>
          <w:szCs w:val="24"/>
          <w:lang w:val="ro-RO"/>
        </w:rPr>
      </w:pPr>
      <w:r w:rsidRPr="00A3541F">
        <w:rPr>
          <w:rFonts w:ascii="Times New Roman" w:eastAsia="Times New Roman" w:hAnsi="Times New Roman" w:cs="Times New Roman"/>
          <w:b/>
          <w:sz w:val="24"/>
          <w:szCs w:val="24"/>
          <w:lang w:val="ro-RO" w:eastAsia="ro-RO"/>
        </w:rPr>
        <w:t xml:space="preserve">     </w:t>
      </w:r>
      <w:r w:rsidR="00427C25" w:rsidRPr="00A3541F">
        <w:rPr>
          <w:rFonts w:ascii="Times New Roman" w:eastAsia="Times New Roman" w:hAnsi="Times New Roman" w:cs="Times New Roman"/>
          <w:b/>
          <w:sz w:val="24"/>
          <w:szCs w:val="24"/>
          <w:lang w:val="ro-RO" w:eastAsia="ro-RO"/>
        </w:rPr>
        <w:t>raional</w:t>
      </w:r>
      <w:r w:rsidR="00FE0FCC" w:rsidRPr="00A3541F">
        <w:rPr>
          <w:rFonts w:ascii="Times New Roman" w:eastAsia="Times New Roman" w:hAnsi="Times New Roman" w:cs="Times New Roman"/>
          <w:b/>
          <w:sz w:val="24"/>
          <w:szCs w:val="24"/>
          <w:lang w:val="ro-RO" w:eastAsia="ro-RO"/>
        </w:rPr>
        <w:t xml:space="preserve"> </w:t>
      </w:r>
      <w:r w:rsidR="00427C25" w:rsidRPr="00A3541F">
        <w:rPr>
          <w:rFonts w:ascii="Times New Roman" w:eastAsia="Times New Roman" w:hAnsi="Times New Roman" w:cs="Times New Roman"/>
          <w:b/>
          <w:sz w:val="24"/>
          <w:szCs w:val="24"/>
          <w:lang w:val="ro-RO" w:eastAsia="ro-RO"/>
        </w:rPr>
        <w:t>pentru primul semestru</w:t>
      </w:r>
      <w:r w:rsidR="00350329" w:rsidRPr="00A3541F">
        <w:rPr>
          <w:rFonts w:ascii="Times New Roman" w:eastAsia="Times New Roman" w:hAnsi="Times New Roman" w:cs="Times New Roman"/>
          <w:b/>
          <w:sz w:val="24"/>
          <w:szCs w:val="24"/>
          <w:lang w:val="ro-RO" w:eastAsia="ro-RO"/>
        </w:rPr>
        <w:t xml:space="preserve"> al</w:t>
      </w:r>
      <w:r w:rsidR="00427C25" w:rsidRPr="00A3541F">
        <w:rPr>
          <w:rFonts w:ascii="Times New Roman" w:eastAsia="Times New Roman" w:hAnsi="Times New Roman" w:cs="Times New Roman"/>
          <w:b/>
          <w:sz w:val="24"/>
          <w:szCs w:val="24"/>
          <w:lang w:val="ro-RO" w:eastAsia="ro-RO"/>
        </w:rPr>
        <w:t xml:space="preserve"> anul</w:t>
      </w:r>
      <w:r w:rsidR="00350329" w:rsidRPr="00A3541F">
        <w:rPr>
          <w:rFonts w:ascii="Times New Roman" w:eastAsia="Times New Roman" w:hAnsi="Times New Roman" w:cs="Times New Roman"/>
          <w:b/>
          <w:sz w:val="24"/>
          <w:szCs w:val="24"/>
          <w:lang w:val="ro-RO" w:eastAsia="ro-RO"/>
        </w:rPr>
        <w:t>ui</w:t>
      </w:r>
      <w:r w:rsidR="00427C25" w:rsidRPr="00A3541F">
        <w:rPr>
          <w:rFonts w:ascii="Times New Roman" w:eastAsia="Times New Roman" w:hAnsi="Times New Roman" w:cs="Times New Roman"/>
          <w:b/>
          <w:sz w:val="24"/>
          <w:szCs w:val="24"/>
          <w:lang w:val="ro-RO" w:eastAsia="ro-RO"/>
        </w:rPr>
        <w:t xml:space="preserve"> 202</w:t>
      </w:r>
      <w:r w:rsidR="004718EF" w:rsidRPr="00A3541F">
        <w:rPr>
          <w:rFonts w:ascii="Times New Roman" w:eastAsia="Times New Roman" w:hAnsi="Times New Roman" w:cs="Times New Roman"/>
          <w:b/>
          <w:sz w:val="24"/>
          <w:szCs w:val="24"/>
          <w:lang w:val="ro-RO" w:eastAsia="ro-RO"/>
        </w:rPr>
        <w:t>5</w:t>
      </w:r>
    </w:p>
    <w:p w:rsidR="00350329" w:rsidRPr="00350329" w:rsidRDefault="00350329" w:rsidP="00C01F75">
      <w:pPr>
        <w:spacing w:after="0" w:line="240" w:lineRule="auto"/>
        <w:ind w:firstLine="567"/>
        <w:jc w:val="both"/>
        <w:rPr>
          <w:rFonts w:ascii="Times New Roman" w:hAnsi="Times New Roman" w:cs="Times New Roman"/>
          <w:sz w:val="24"/>
          <w:szCs w:val="24"/>
          <w:lang w:val="ro-RO"/>
        </w:rPr>
      </w:pPr>
      <w:r w:rsidRPr="00350329">
        <w:rPr>
          <w:rFonts w:ascii="Times New Roman" w:hAnsi="Times New Roman" w:cs="Times New Roman"/>
          <w:sz w:val="24"/>
          <w:szCs w:val="24"/>
          <w:lang w:val="ro-RO"/>
        </w:rPr>
        <w:t xml:space="preserve">În temeiul art. 43 alin. 1, lit. b) și 46 al Legii nr. 436/2006 privind administrația publică locală, în conformitate cu prevederile art. 47 alin. 2 lit. c) al Legii nr. 181/2014 cu privire la finanțele publice și responsabilitățile bugetar-fiscale, art. 32 lit. f), art. 33 lit. o) al Legii nr. 397/2003 privind finanțele publice locale, precum și a Legii Bugetului de Stat pentru anul 2025 nr. 310/2024, </w:t>
      </w:r>
      <w:r w:rsidR="00A3541F">
        <w:rPr>
          <w:rFonts w:ascii="Times New Roman" w:hAnsi="Times New Roman" w:cs="Times New Roman"/>
          <w:sz w:val="24"/>
          <w:szCs w:val="24"/>
          <w:lang w:val="ro-RO"/>
        </w:rPr>
        <w:t>audiind</w:t>
      </w:r>
      <w:r w:rsidRPr="00350329">
        <w:rPr>
          <w:rFonts w:ascii="Times New Roman" w:hAnsi="Times New Roman" w:cs="Times New Roman"/>
          <w:sz w:val="24"/>
          <w:szCs w:val="24"/>
          <w:lang w:val="ro-RO"/>
        </w:rPr>
        <w:t xml:space="preserve"> raportului privind executarea bugetului raional pentru primul semestru al anului 2025, Consiliul raional</w:t>
      </w:r>
    </w:p>
    <w:p w:rsidR="00350329" w:rsidRPr="00350329" w:rsidRDefault="00350329" w:rsidP="00C01F75">
      <w:pPr>
        <w:spacing w:after="0" w:line="240" w:lineRule="auto"/>
        <w:jc w:val="center"/>
        <w:rPr>
          <w:rFonts w:ascii="Times New Roman" w:hAnsi="Times New Roman" w:cs="Times New Roman"/>
          <w:sz w:val="24"/>
          <w:szCs w:val="24"/>
          <w:lang w:val="ro-RO"/>
        </w:rPr>
      </w:pPr>
      <w:r w:rsidRPr="00350329">
        <w:rPr>
          <w:rFonts w:ascii="Times New Roman" w:hAnsi="Times New Roman" w:cs="Times New Roman"/>
          <w:b/>
          <w:bCs/>
          <w:sz w:val="24"/>
          <w:szCs w:val="24"/>
          <w:lang w:val="ro-RO"/>
        </w:rPr>
        <w:t>DECIDE:</w:t>
      </w:r>
    </w:p>
    <w:p w:rsidR="00350329" w:rsidRDefault="00227A3C" w:rsidP="00C01F75">
      <w:pPr>
        <w:numPr>
          <w:ilvl w:val="0"/>
          <w:numId w:val="3"/>
        </w:numPr>
        <w:tabs>
          <w:tab w:val="clear" w:pos="720"/>
          <w:tab w:val="num" w:pos="0"/>
          <w:tab w:val="left" w:pos="567"/>
        </w:tabs>
        <w:spacing w:after="0" w:line="240" w:lineRule="auto"/>
        <w:ind w:left="0" w:firstLine="284"/>
        <w:jc w:val="both"/>
        <w:rPr>
          <w:rFonts w:ascii="Times New Roman" w:hAnsi="Times New Roman" w:cs="Times New Roman"/>
          <w:sz w:val="24"/>
          <w:szCs w:val="24"/>
          <w:lang w:val="ro-RO"/>
        </w:rPr>
      </w:pPr>
      <w:r w:rsidRPr="00227A3C">
        <w:rPr>
          <w:rFonts w:ascii="Times New Roman" w:eastAsia="Calibri" w:hAnsi="Times New Roman" w:cs="Times New Roman"/>
          <w:sz w:val="24"/>
          <w:szCs w:val="24"/>
          <w:lang w:val="ro-RO"/>
        </w:rPr>
        <w:t xml:space="preserve">Se ia act de </w:t>
      </w:r>
      <w:r w:rsidR="00350329" w:rsidRPr="00350329">
        <w:rPr>
          <w:rFonts w:ascii="Times New Roman" w:hAnsi="Times New Roman" w:cs="Times New Roman"/>
          <w:sz w:val="24"/>
          <w:szCs w:val="24"/>
          <w:lang w:val="ro-RO"/>
        </w:rPr>
        <w:t xml:space="preserve">Raportul Direcției Finanțe privind executarea bugetului raional pentru primul semestru al anului 2025, la partea de venituri în sumă de </w:t>
      </w:r>
      <w:r w:rsidR="00350329" w:rsidRPr="00A500F2">
        <w:rPr>
          <w:rFonts w:ascii="Times New Roman" w:hAnsi="Times New Roman" w:cs="Times New Roman"/>
          <w:b/>
          <w:sz w:val="24"/>
          <w:szCs w:val="24"/>
          <w:lang w:val="ro-RO"/>
        </w:rPr>
        <w:t>106.976,5 mii lei</w:t>
      </w:r>
      <w:r w:rsidR="00350329" w:rsidRPr="00350329">
        <w:rPr>
          <w:rFonts w:ascii="Times New Roman" w:hAnsi="Times New Roman" w:cs="Times New Roman"/>
          <w:sz w:val="24"/>
          <w:szCs w:val="24"/>
          <w:lang w:val="ro-RO"/>
        </w:rPr>
        <w:t xml:space="preserve"> și la partea de cheltuieli în sumă de </w:t>
      </w:r>
      <w:r w:rsidR="00350329" w:rsidRPr="00A500F2">
        <w:rPr>
          <w:rFonts w:ascii="Times New Roman" w:hAnsi="Times New Roman" w:cs="Times New Roman"/>
          <w:b/>
          <w:sz w:val="24"/>
          <w:szCs w:val="24"/>
          <w:lang w:val="ro-RO"/>
        </w:rPr>
        <w:t>105.588,0 mii lei</w:t>
      </w:r>
      <w:r w:rsidR="00350329" w:rsidRPr="00350329">
        <w:rPr>
          <w:rFonts w:ascii="Times New Roman" w:hAnsi="Times New Roman" w:cs="Times New Roman"/>
          <w:sz w:val="24"/>
          <w:szCs w:val="24"/>
          <w:lang w:val="ro-RO"/>
        </w:rPr>
        <w:t>, conform prevederilor anexei, parte integrantă a prezentei decizii.</w:t>
      </w:r>
      <w:r>
        <w:rPr>
          <w:rFonts w:ascii="Times New Roman" w:hAnsi="Times New Roman" w:cs="Times New Roman"/>
          <w:sz w:val="24"/>
          <w:szCs w:val="24"/>
          <w:lang w:val="ro-RO"/>
        </w:rPr>
        <w:t xml:space="preserve"> </w:t>
      </w:r>
    </w:p>
    <w:p w:rsidR="00350329" w:rsidRPr="00350329" w:rsidRDefault="00350329" w:rsidP="00C01F75">
      <w:pPr>
        <w:tabs>
          <w:tab w:val="left" w:pos="567"/>
        </w:tabs>
        <w:spacing w:after="0" w:line="240" w:lineRule="auto"/>
        <w:ind w:left="284"/>
        <w:jc w:val="both"/>
        <w:rPr>
          <w:rFonts w:ascii="Times New Roman" w:hAnsi="Times New Roman" w:cs="Times New Roman"/>
          <w:sz w:val="24"/>
          <w:szCs w:val="24"/>
          <w:lang w:val="ro-RO"/>
        </w:rPr>
      </w:pPr>
    </w:p>
    <w:p w:rsidR="00940A2B" w:rsidRDefault="00350329" w:rsidP="00C01F75">
      <w:pPr>
        <w:numPr>
          <w:ilvl w:val="0"/>
          <w:numId w:val="3"/>
        </w:numPr>
        <w:tabs>
          <w:tab w:val="clear" w:pos="720"/>
          <w:tab w:val="num" w:pos="0"/>
          <w:tab w:val="left" w:pos="567"/>
          <w:tab w:val="left" w:pos="851"/>
        </w:tabs>
        <w:spacing w:after="0" w:line="240" w:lineRule="auto"/>
        <w:ind w:left="0" w:firstLine="284"/>
        <w:jc w:val="both"/>
        <w:rPr>
          <w:rFonts w:ascii="Times New Roman" w:hAnsi="Times New Roman" w:cs="Times New Roman"/>
          <w:sz w:val="24"/>
          <w:szCs w:val="24"/>
          <w:lang w:val="ro-RO"/>
        </w:rPr>
      </w:pPr>
      <w:r w:rsidRPr="00350329">
        <w:rPr>
          <w:rFonts w:ascii="Times New Roman" w:hAnsi="Times New Roman" w:cs="Times New Roman"/>
          <w:sz w:val="24"/>
          <w:szCs w:val="24"/>
          <w:lang w:val="ro-RO"/>
        </w:rPr>
        <w:t>Executorii de buget vor întreprinde acțiunile ce se impun pentru:</w:t>
      </w:r>
    </w:p>
    <w:p w:rsidR="00940A2B" w:rsidRDefault="00350329" w:rsidP="00C01F75">
      <w:pPr>
        <w:tabs>
          <w:tab w:val="left" w:pos="567"/>
          <w:tab w:val="left" w:pos="851"/>
        </w:tabs>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50329">
        <w:rPr>
          <w:rFonts w:ascii="Times New Roman" w:hAnsi="Times New Roman" w:cs="Times New Roman"/>
          <w:sz w:val="24"/>
          <w:szCs w:val="24"/>
          <w:lang w:val="ro-RO"/>
        </w:rPr>
        <w:t>2.1. Asigurarea îndeplinirii integrale a planurilor de venituri și cheltuieli aprobate în buget;</w:t>
      </w:r>
      <w:r w:rsidRPr="00350329">
        <w:rPr>
          <w:rFonts w:ascii="Times New Roman" w:hAnsi="Times New Roman" w:cs="Times New Roman"/>
          <w:sz w:val="24"/>
          <w:szCs w:val="24"/>
          <w:lang w:val="ro-RO"/>
        </w:rPr>
        <w:br/>
      </w:r>
      <w:r>
        <w:rPr>
          <w:rFonts w:ascii="Times New Roman" w:hAnsi="Times New Roman" w:cs="Times New Roman"/>
          <w:sz w:val="24"/>
          <w:szCs w:val="24"/>
          <w:lang w:val="ro-RO"/>
        </w:rPr>
        <w:t xml:space="preserve">     </w:t>
      </w:r>
      <w:r w:rsidRPr="00350329">
        <w:rPr>
          <w:rFonts w:ascii="Times New Roman" w:hAnsi="Times New Roman" w:cs="Times New Roman"/>
          <w:sz w:val="24"/>
          <w:szCs w:val="24"/>
          <w:lang w:val="ro-RO"/>
        </w:rPr>
        <w:t xml:space="preserve">2.2. Asigurarea îndeplinirii calitative a modificărilor aprobate, atât la partea de venituri, cât </w:t>
      </w:r>
      <w:r w:rsidR="00A500F2">
        <w:rPr>
          <w:rFonts w:ascii="Times New Roman" w:hAnsi="Times New Roman" w:cs="Times New Roman"/>
          <w:sz w:val="24"/>
          <w:szCs w:val="24"/>
          <w:lang w:val="ro-RO"/>
        </w:rPr>
        <w:t xml:space="preserve">   </w:t>
      </w:r>
      <w:r w:rsidRPr="00350329">
        <w:rPr>
          <w:rFonts w:ascii="Times New Roman" w:hAnsi="Times New Roman" w:cs="Times New Roman"/>
          <w:sz w:val="24"/>
          <w:szCs w:val="24"/>
          <w:lang w:val="ro-RO"/>
        </w:rPr>
        <w:t>și la partea de cheltuieli, conform legislației în vigoare;</w:t>
      </w:r>
    </w:p>
    <w:p w:rsidR="00350329" w:rsidRDefault="00350329" w:rsidP="00C01F75">
      <w:pPr>
        <w:tabs>
          <w:tab w:val="left" w:pos="567"/>
        </w:tabs>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50329">
        <w:rPr>
          <w:rFonts w:ascii="Times New Roman" w:hAnsi="Times New Roman" w:cs="Times New Roman"/>
          <w:sz w:val="24"/>
          <w:szCs w:val="24"/>
          <w:lang w:val="ro-RO"/>
        </w:rPr>
        <w:t xml:space="preserve">2.3. Neadmiterea formării datoriilor creditoare și debitoare cu termen expirat. Conform </w:t>
      </w:r>
      <w:r w:rsidR="00940A2B">
        <w:rPr>
          <w:rFonts w:ascii="Times New Roman" w:hAnsi="Times New Roman" w:cs="Times New Roman"/>
          <w:sz w:val="24"/>
          <w:szCs w:val="24"/>
          <w:lang w:val="ro-RO"/>
        </w:rPr>
        <w:t>a</w:t>
      </w:r>
      <w:r w:rsidRPr="00350329">
        <w:rPr>
          <w:rFonts w:ascii="Times New Roman" w:hAnsi="Times New Roman" w:cs="Times New Roman"/>
          <w:sz w:val="24"/>
          <w:szCs w:val="24"/>
          <w:lang w:val="ro-RO"/>
        </w:rPr>
        <w:t>ctelor normative, datoriile creditoare ale instituțiilor bugetare vor fi achitate din contul și în limita alocațiilor aprobate pentru anul curent.</w:t>
      </w:r>
    </w:p>
    <w:p w:rsidR="00350329" w:rsidRDefault="00350329" w:rsidP="00C01F75">
      <w:pPr>
        <w:pStyle w:val="Listparagraf"/>
        <w:spacing w:after="0" w:line="240" w:lineRule="auto"/>
        <w:rPr>
          <w:rFonts w:ascii="Times New Roman" w:hAnsi="Times New Roman" w:cs="Times New Roman"/>
          <w:sz w:val="24"/>
          <w:szCs w:val="24"/>
          <w:lang w:val="ro-RO"/>
        </w:rPr>
      </w:pPr>
    </w:p>
    <w:p w:rsidR="00940A2B" w:rsidRDefault="00350329" w:rsidP="00C01F75">
      <w:pPr>
        <w:numPr>
          <w:ilvl w:val="0"/>
          <w:numId w:val="3"/>
        </w:numPr>
        <w:tabs>
          <w:tab w:val="clear" w:pos="720"/>
          <w:tab w:val="num" w:pos="0"/>
          <w:tab w:val="left" w:pos="567"/>
        </w:tabs>
        <w:spacing w:after="0" w:line="240" w:lineRule="auto"/>
        <w:ind w:left="0" w:firstLine="284"/>
        <w:rPr>
          <w:rFonts w:ascii="Times New Roman" w:hAnsi="Times New Roman" w:cs="Times New Roman"/>
          <w:sz w:val="24"/>
          <w:szCs w:val="24"/>
          <w:lang w:val="ro-RO"/>
        </w:rPr>
      </w:pPr>
      <w:r w:rsidRPr="00350329">
        <w:rPr>
          <w:rFonts w:ascii="Times New Roman" w:hAnsi="Times New Roman" w:cs="Times New Roman"/>
          <w:sz w:val="24"/>
          <w:szCs w:val="24"/>
          <w:lang w:val="ro-RO"/>
        </w:rPr>
        <w:t>Direcția</w:t>
      </w:r>
      <w:r w:rsidR="00940A2B">
        <w:rPr>
          <w:rFonts w:ascii="Times New Roman" w:hAnsi="Times New Roman" w:cs="Times New Roman"/>
          <w:sz w:val="24"/>
          <w:szCs w:val="24"/>
          <w:lang w:val="ro-RO"/>
        </w:rPr>
        <w:t xml:space="preserve"> </w:t>
      </w:r>
      <w:r w:rsidRPr="00350329">
        <w:rPr>
          <w:rFonts w:ascii="Times New Roman" w:hAnsi="Times New Roman" w:cs="Times New Roman"/>
          <w:sz w:val="24"/>
          <w:szCs w:val="24"/>
          <w:lang w:val="ro-RO"/>
        </w:rPr>
        <w:t>Finanțe:</w:t>
      </w:r>
    </w:p>
    <w:p w:rsidR="00350329" w:rsidRDefault="00350329" w:rsidP="00C01F75">
      <w:pPr>
        <w:tabs>
          <w:tab w:val="left" w:pos="567"/>
        </w:tabs>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50329">
        <w:rPr>
          <w:rFonts w:ascii="Times New Roman" w:hAnsi="Times New Roman" w:cs="Times New Roman"/>
          <w:sz w:val="24"/>
          <w:szCs w:val="24"/>
          <w:lang w:val="ro-RO"/>
        </w:rPr>
        <w:t>3.1. Va efectua, în calitate de administrator de buget, modificările necesare în cadrul sistemului informațional al Ministerului Finanțelor, în funcție de necesitățile de facto ale raionului;</w:t>
      </w:r>
      <w:r w:rsidRPr="00350329">
        <w:rPr>
          <w:rFonts w:ascii="Times New Roman" w:hAnsi="Times New Roman" w:cs="Times New Roman"/>
          <w:sz w:val="24"/>
          <w:szCs w:val="24"/>
          <w:lang w:val="ro-RO"/>
        </w:rPr>
        <w:br/>
      </w:r>
      <w:r>
        <w:rPr>
          <w:rFonts w:ascii="Times New Roman" w:hAnsi="Times New Roman" w:cs="Times New Roman"/>
          <w:sz w:val="24"/>
          <w:szCs w:val="24"/>
          <w:lang w:val="ro-RO"/>
        </w:rPr>
        <w:t xml:space="preserve">     </w:t>
      </w:r>
      <w:r w:rsidRPr="00350329">
        <w:rPr>
          <w:rFonts w:ascii="Times New Roman" w:hAnsi="Times New Roman" w:cs="Times New Roman"/>
          <w:sz w:val="24"/>
          <w:szCs w:val="24"/>
          <w:lang w:val="ro-RO"/>
        </w:rPr>
        <w:t>3.2. Va monitoriza, în limita competențelor, executarea bugetului raional, informând Președintele raionului despre eventuale situații de neexecutare sau executare necompletă a bugetului, pentru întreprinderea acțiunilor de prevenire a neexecutărilor de buget.</w:t>
      </w:r>
    </w:p>
    <w:p w:rsidR="00350329" w:rsidRDefault="00350329" w:rsidP="00C01F75">
      <w:pPr>
        <w:pStyle w:val="Listparagraf"/>
        <w:spacing w:after="0" w:line="240" w:lineRule="auto"/>
        <w:jc w:val="both"/>
        <w:rPr>
          <w:rFonts w:ascii="Times New Roman" w:hAnsi="Times New Roman" w:cs="Times New Roman"/>
          <w:sz w:val="24"/>
          <w:szCs w:val="24"/>
          <w:lang w:val="ro-RO"/>
        </w:rPr>
      </w:pPr>
    </w:p>
    <w:p w:rsidR="00940A2B" w:rsidRDefault="00350329" w:rsidP="00C01F75">
      <w:pPr>
        <w:numPr>
          <w:ilvl w:val="0"/>
          <w:numId w:val="3"/>
        </w:numPr>
        <w:tabs>
          <w:tab w:val="clear" w:pos="720"/>
          <w:tab w:val="num" w:pos="0"/>
          <w:tab w:val="left" w:pos="567"/>
        </w:tabs>
        <w:spacing w:after="0" w:line="240" w:lineRule="auto"/>
        <w:ind w:left="0" w:firstLine="284"/>
        <w:jc w:val="both"/>
        <w:rPr>
          <w:rFonts w:ascii="Times New Roman" w:hAnsi="Times New Roman" w:cs="Times New Roman"/>
          <w:sz w:val="24"/>
          <w:szCs w:val="24"/>
          <w:lang w:val="ro-RO"/>
        </w:rPr>
      </w:pPr>
      <w:r w:rsidRPr="00940A2B">
        <w:rPr>
          <w:rFonts w:ascii="Times New Roman" w:hAnsi="Times New Roman" w:cs="Times New Roman"/>
          <w:sz w:val="24"/>
          <w:szCs w:val="24"/>
          <w:lang w:val="ro-RO"/>
        </w:rPr>
        <w:t>Se recomandă Direcției de Deservire Fiscală Telenești să asigure lichidarea restanțelor la buget și încasarea integrală a plăților curente.</w:t>
      </w:r>
    </w:p>
    <w:p w:rsidR="00940A2B" w:rsidRDefault="00940A2B" w:rsidP="00C01F75">
      <w:pPr>
        <w:tabs>
          <w:tab w:val="left" w:pos="567"/>
        </w:tabs>
        <w:spacing w:after="0" w:line="240" w:lineRule="auto"/>
        <w:ind w:left="284"/>
        <w:jc w:val="both"/>
        <w:rPr>
          <w:rFonts w:ascii="Times New Roman" w:hAnsi="Times New Roman" w:cs="Times New Roman"/>
          <w:sz w:val="24"/>
          <w:szCs w:val="24"/>
          <w:lang w:val="ro-RO"/>
        </w:rPr>
      </w:pPr>
    </w:p>
    <w:p w:rsidR="00940A2B" w:rsidRDefault="00350329" w:rsidP="00C01F75">
      <w:pPr>
        <w:numPr>
          <w:ilvl w:val="0"/>
          <w:numId w:val="3"/>
        </w:numPr>
        <w:tabs>
          <w:tab w:val="clear" w:pos="720"/>
          <w:tab w:val="num" w:pos="0"/>
          <w:tab w:val="left" w:pos="567"/>
        </w:tabs>
        <w:spacing w:after="0" w:line="240" w:lineRule="auto"/>
        <w:ind w:left="0" w:firstLine="284"/>
        <w:jc w:val="both"/>
        <w:rPr>
          <w:rFonts w:ascii="Times New Roman" w:hAnsi="Times New Roman" w:cs="Times New Roman"/>
          <w:sz w:val="24"/>
          <w:szCs w:val="24"/>
          <w:lang w:val="ro-RO"/>
        </w:rPr>
      </w:pPr>
      <w:r w:rsidRPr="00940A2B">
        <w:rPr>
          <w:rFonts w:ascii="Times New Roman" w:hAnsi="Times New Roman" w:cs="Times New Roman"/>
          <w:sz w:val="24"/>
          <w:szCs w:val="24"/>
          <w:lang w:val="ro-RO"/>
        </w:rPr>
        <w:t>Controlul executării prevederilor deciziei respective se pune în seama Președintelui raionului.</w:t>
      </w:r>
    </w:p>
    <w:p w:rsidR="00940A2B" w:rsidRDefault="00940A2B" w:rsidP="00C01F75">
      <w:pPr>
        <w:tabs>
          <w:tab w:val="left" w:pos="567"/>
        </w:tabs>
        <w:spacing w:after="0" w:line="240" w:lineRule="auto"/>
        <w:ind w:left="284"/>
        <w:jc w:val="both"/>
        <w:rPr>
          <w:rFonts w:ascii="Times New Roman" w:hAnsi="Times New Roman" w:cs="Times New Roman"/>
          <w:sz w:val="24"/>
          <w:szCs w:val="24"/>
          <w:lang w:val="ro-RO"/>
        </w:rPr>
      </w:pPr>
    </w:p>
    <w:p w:rsidR="00350329" w:rsidRPr="00940A2B" w:rsidRDefault="00350329" w:rsidP="00C01F75">
      <w:pPr>
        <w:numPr>
          <w:ilvl w:val="0"/>
          <w:numId w:val="3"/>
        </w:numPr>
        <w:tabs>
          <w:tab w:val="clear" w:pos="720"/>
          <w:tab w:val="num" w:pos="0"/>
          <w:tab w:val="left" w:pos="567"/>
        </w:tabs>
        <w:spacing w:after="0" w:line="240" w:lineRule="auto"/>
        <w:ind w:left="0" w:firstLine="284"/>
        <w:jc w:val="both"/>
        <w:rPr>
          <w:rFonts w:ascii="Times New Roman" w:hAnsi="Times New Roman" w:cs="Times New Roman"/>
          <w:sz w:val="24"/>
          <w:szCs w:val="24"/>
          <w:lang w:val="ro-RO"/>
        </w:rPr>
      </w:pPr>
      <w:r w:rsidRPr="00940A2B">
        <w:rPr>
          <w:rFonts w:ascii="Times New Roman" w:hAnsi="Times New Roman" w:cs="Times New Roman"/>
          <w:sz w:val="24"/>
          <w:szCs w:val="24"/>
          <w:lang w:val="ro-RO"/>
        </w:rPr>
        <w:t>Prezenta decizie urmează a fi adusă la cunoștința titularilor funcțiilor vizate, se publică pe site-ul </w:t>
      </w:r>
      <w:hyperlink r:id="rId11" w:tgtFrame="_blank" w:history="1">
        <w:r w:rsidRPr="00940A2B">
          <w:rPr>
            <w:rStyle w:val="Hyperlink"/>
            <w:rFonts w:ascii="Times New Roman" w:hAnsi="Times New Roman" w:cs="Times New Roman"/>
            <w:sz w:val="24"/>
            <w:szCs w:val="24"/>
            <w:lang w:val="ro-RO"/>
          </w:rPr>
          <w:t>www.telenesti.md</w:t>
        </w:r>
      </w:hyperlink>
      <w:r w:rsidRPr="00940A2B">
        <w:rPr>
          <w:rFonts w:ascii="Times New Roman" w:hAnsi="Times New Roman" w:cs="Times New Roman"/>
          <w:sz w:val="24"/>
          <w:szCs w:val="24"/>
          <w:lang w:val="ro-RO"/>
        </w:rPr>
        <w:t xml:space="preserve"> și intră în vigoare la data includerii în Registrul de Stat al Actelor Locale.</w:t>
      </w:r>
    </w:p>
    <w:p w:rsidR="00427C25" w:rsidRPr="00C032F3" w:rsidRDefault="00427C25" w:rsidP="00C01F75">
      <w:pPr>
        <w:tabs>
          <w:tab w:val="num" w:pos="0"/>
          <w:tab w:val="left" w:pos="567"/>
        </w:tabs>
        <w:spacing w:after="0" w:line="240" w:lineRule="auto"/>
        <w:ind w:firstLine="284"/>
        <w:jc w:val="both"/>
        <w:rPr>
          <w:rFonts w:ascii="Times New Roman" w:hAnsi="Times New Roman" w:cs="Times New Roman"/>
          <w:sz w:val="24"/>
          <w:szCs w:val="24"/>
          <w:lang w:val="ro-RO"/>
        </w:rPr>
      </w:pPr>
    </w:p>
    <w:p w:rsidR="00427C25" w:rsidRDefault="00940A2B" w:rsidP="00A3541F">
      <w:pPr>
        <w:pStyle w:val="Listparagraf"/>
        <w:spacing w:after="120" w:line="240" w:lineRule="auto"/>
        <w:ind w:left="36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427C25" w:rsidRPr="00C032F3">
        <w:rPr>
          <w:rFonts w:ascii="Times New Roman" w:hAnsi="Times New Roman" w:cs="Times New Roman"/>
          <w:b/>
          <w:sz w:val="24"/>
          <w:szCs w:val="24"/>
          <w:lang w:val="ro-RO"/>
        </w:rPr>
        <w:t xml:space="preserve">Președintele ședinței                   </w:t>
      </w:r>
    </w:p>
    <w:p w:rsidR="00427C25" w:rsidRPr="00C032F3" w:rsidRDefault="00427C25" w:rsidP="00C01F75">
      <w:pPr>
        <w:pStyle w:val="Listparagraf"/>
        <w:spacing w:after="0" w:line="240" w:lineRule="auto"/>
        <w:ind w:left="360"/>
        <w:jc w:val="both"/>
        <w:rPr>
          <w:rFonts w:ascii="Times New Roman" w:hAnsi="Times New Roman" w:cs="Times New Roman"/>
          <w:b/>
          <w:sz w:val="24"/>
          <w:szCs w:val="24"/>
          <w:u w:val="single"/>
          <w:lang w:val="ro-RO"/>
        </w:rPr>
      </w:pPr>
      <w:r w:rsidRPr="00C032F3">
        <w:rPr>
          <w:rFonts w:ascii="Times New Roman" w:hAnsi="Times New Roman" w:cs="Times New Roman"/>
          <w:b/>
          <w:sz w:val="24"/>
          <w:szCs w:val="24"/>
          <w:lang w:val="ro-RO"/>
        </w:rPr>
        <w:t xml:space="preserve">                                                                                                               </w:t>
      </w:r>
    </w:p>
    <w:p w:rsidR="00427C25" w:rsidRDefault="00427C25" w:rsidP="00C01F75">
      <w:pPr>
        <w:pStyle w:val="Listparagraf"/>
        <w:spacing w:after="120" w:line="240" w:lineRule="auto"/>
        <w:ind w:left="360"/>
        <w:jc w:val="both"/>
        <w:rPr>
          <w:rFonts w:ascii="Times New Roman" w:hAnsi="Times New Roman" w:cs="Times New Roman"/>
          <w:b/>
          <w:sz w:val="24"/>
          <w:szCs w:val="24"/>
          <w:lang w:val="ro-RO"/>
        </w:rPr>
      </w:pPr>
      <w:r w:rsidRPr="00C032F3">
        <w:rPr>
          <w:rFonts w:ascii="Times New Roman" w:hAnsi="Times New Roman" w:cs="Times New Roman"/>
          <w:b/>
          <w:sz w:val="24"/>
          <w:szCs w:val="24"/>
          <w:lang w:val="ro-RO"/>
        </w:rPr>
        <w:t xml:space="preserve">Secretarul Consiliului Raional                                                      </w:t>
      </w:r>
      <w:proofErr w:type="spellStart"/>
      <w:r w:rsidR="004718EF">
        <w:rPr>
          <w:rFonts w:ascii="Times New Roman" w:hAnsi="Times New Roman" w:cs="Times New Roman"/>
          <w:b/>
          <w:sz w:val="24"/>
          <w:szCs w:val="24"/>
          <w:lang w:val="ro-RO"/>
        </w:rPr>
        <w:t>Vasili</w:t>
      </w:r>
      <w:bookmarkStart w:id="0" w:name="_GoBack"/>
      <w:bookmarkEnd w:id="0"/>
      <w:r w:rsidR="004718EF">
        <w:rPr>
          <w:rFonts w:ascii="Times New Roman" w:hAnsi="Times New Roman" w:cs="Times New Roman"/>
          <w:b/>
          <w:sz w:val="24"/>
          <w:szCs w:val="24"/>
          <w:lang w:val="ro-RO"/>
        </w:rPr>
        <w:t>i</w:t>
      </w:r>
      <w:proofErr w:type="spellEnd"/>
      <w:r w:rsidR="004718EF">
        <w:rPr>
          <w:rFonts w:ascii="Times New Roman" w:hAnsi="Times New Roman" w:cs="Times New Roman"/>
          <w:b/>
          <w:sz w:val="24"/>
          <w:szCs w:val="24"/>
          <w:lang w:val="ro-RO"/>
        </w:rPr>
        <w:t xml:space="preserve">  </w:t>
      </w:r>
      <w:r>
        <w:rPr>
          <w:rFonts w:ascii="Times New Roman" w:hAnsi="Times New Roman" w:cs="Times New Roman"/>
          <w:b/>
          <w:sz w:val="24"/>
          <w:szCs w:val="24"/>
          <w:lang w:val="ro-RO"/>
        </w:rPr>
        <w:t>B</w:t>
      </w:r>
      <w:r w:rsidR="004718EF">
        <w:rPr>
          <w:rFonts w:ascii="Times New Roman" w:hAnsi="Times New Roman" w:cs="Times New Roman"/>
          <w:b/>
          <w:sz w:val="24"/>
          <w:szCs w:val="24"/>
          <w:lang w:val="ro-RO"/>
        </w:rPr>
        <w:t>ULAT</w:t>
      </w:r>
    </w:p>
    <w:p w:rsidR="00227A3C" w:rsidRDefault="00227A3C" w:rsidP="00227A3C">
      <w:pPr>
        <w:spacing w:after="0" w:line="240" w:lineRule="auto"/>
        <w:jc w:val="center"/>
        <w:rPr>
          <w:rFonts w:ascii="Times New Roman" w:eastAsia="Calibri" w:hAnsi="Times New Roman" w:cs="Times New Roman"/>
          <w:color w:val="000000"/>
          <w:sz w:val="24"/>
          <w:szCs w:val="24"/>
          <w:u w:val="single"/>
          <w:lang w:val="ro-RO"/>
        </w:rPr>
      </w:pPr>
    </w:p>
    <w:p w:rsidR="00A3541F" w:rsidRDefault="00A3541F" w:rsidP="00227A3C">
      <w:pPr>
        <w:spacing w:after="0" w:line="240" w:lineRule="auto"/>
        <w:jc w:val="center"/>
        <w:rPr>
          <w:rFonts w:ascii="Times New Roman" w:eastAsia="Calibri" w:hAnsi="Times New Roman" w:cs="Times New Roman"/>
          <w:color w:val="000000"/>
          <w:sz w:val="24"/>
          <w:szCs w:val="24"/>
          <w:u w:val="single"/>
          <w:lang w:val="ro-RO"/>
        </w:rPr>
      </w:pPr>
    </w:p>
    <w:p w:rsidR="00227A3C" w:rsidRPr="00227A3C" w:rsidRDefault="00227A3C" w:rsidP="00227A3C">
      <w:pPr>
        <w:spacing w:after="0" w:line="240" w:lineRule="auto"/>
        <w:jc w:val="center"/>
        <w:rPr>
          <w:rFonts w:ascii="Times New Roman" w:eastAsia="Calibri" w:hAnsi="Times New Roman" w:cs="Times New Roman"/>
          <w:color w:val="000000"/>
          <w:sz w:val="24"/>
          <w:szCs w:val="24"/>
          <w:u w:val="single"/>
          <w:lang w:val="ro-RO"/>
        </w:rPr>
      </w:pPr>
    </w:p>
    <w:p w:rsidR="00227A3C" w:rsidRPr="00227A3C" w:rsidRDefault="00227A3C" w:rsidP="00227A3C">
      <w:pPr>
        <w:spacing w:after="0" w:line="240" w:lineRule="auto"/>
        <w:jc w:val="center"/>
        <w:rPr>
          <w:rFonts w:ascii="Times New Roman" w:eastAsia="Calibri" w:hAnsi="Times New Roman" w:cs="Times New Roman"/>
          <w:b/>
          <w:color w:val="000000"/>
          <w:sz w:val="24"/>
          <w:szCs w:val="24"/>
          <w:u w:val="single"/>
          <w:lang w:val="ro-RO"/>
        </w:rPr>
      </w:pPr>
      <w:r w:rsidRPr="00227A3C">
        <w:rPr>
          <w:rFonts w:ascii="Times New Roman" w:eastAsia="Calibri" w:hAnsi="Times New Roman" w:cs="Times New Roman"/>
          <w:b/>
          <w:color w:val="000000"/>
          <w:sz w:val="24"/>
          <w:szCs w:val="24"/>
          <w:u w:val="single"/>
          <w:lang w:val="ro-RO"/>
        </w:rPr>
        <w:t>Raport narativ</w:t>
      </w:r>
    </w:p>
    <w:p w:rsidR="00227A3C" w:rsidRPr="00227A3C" w:rsidRDefault="00227A3C" w:rsidP="00227A3C">
      <w:pPr>
        <w:spacing w:after="0" w:line="240" w:lineRule="auto"/>
        <w:jc w:val="center"/>
        <w:rPr>
          <w:rFonts w:ascii="Times New Roman" w:eastAsia="Calibri" w:hAnsi="Times New Roman" w:cs="Times New Roman"/>
          <w:b/>
          <w:color w:val="000000"/>
          <w:sz w:val="24"/>
          <w:szCs w:val="24"/>
          <w:lang w:val="ro-RO"/>
        </w:rPr>
      </w:pPr>
      <w:r w:rsidRPr="00227A3C">
        <w:rPr>
          <w:rFonts w:ascii="Times New Roman" w:eastAsia="Calibri" w:hAnsi="Times New Roman" w:cs="Times New Roman"/>
          <w:b/>
          <w:color w:val="000000"/>
          <w:sz w:val="24"/>
          <w:szCs w:val="24"/>
          <w:lang w:val="ro-RO"/>
        </w:rPr>
        <w:t xml:space="preserve">privind executarea bugetului raional de nivelul II (Raionul Telenești) </w:t>
      </w:r>
    </w:p>
    <w:p w:rsidR="00227A3C" w:rsidRPr="00227A3C" w:rsidRDefault="00227A3C" w:rsidP="00227A3C">
      <w:pPr>
        <w:spacing w:after="0" w:line="240" w:lineRule="auto"/>
        <w:jc w:val="center"/>
        <w:rPr>
          <w:rFonts w:ascii="Times New Roman" w:eastAsia="Calibri" w:hAnsi="Times New Roman" w:cs="Times New Roman"/>
          <w:b/>
          <w:color w:val="000000"/>
          <w:sz w:val="24"/>
          <w:szCs w:val="24"/>
          <w:lang w:val="ro-RO"/>
        </w:rPr>
      </w:pPr>
      <w:r w:rsidRPr="00227A3C">
        <w:rPr>
          <w:rFonts w:ascii="Times New Roman" w:eastAsia="Calibri" w:hAnsi="Times New Roman" w:cs="Times New Roman"/>
          <w:b/>
          <w:color w:val="000000"/>
          <w:sz w:val="24"/>
          <w:szCs w:val="24"/>
          <w:lang w:val="ro-RO"/>
        </w:rPr>
        <w:t>pentru semestru I al anului 2025</w:t>
      </w:r>
    </w:p>
    <w:p w:rsidR="00227A3C" w:rsidRPr="00227A3C" w:rsidRDefault="00227A3C" w:rsidP="00227A3C">
      <w:pPr>
        <w:spacing w:after="0" w:line="240" w:lineRule="auto"/>
        <w:jc w:val="center"/>
        <w:rPr>
          <w:rFonts w:ascii="Times New Roman" w:eastAsia="Calibri" w:hAnsi="Times New Roman" w:cs="Times New Roman"/>
          <w:b/>
          <w:color w:val="000000"/>
          <w:sz w:val="32"/>
          <w:lang w:val="ro-RO"/>
        </w:rPr>
      </w:pPr>
    </w:p>
    <w:p w:rsidR="00227A3C" w:rsidRPr="00227A3C" w:rsidRDefault="00227A3C" w:rsidP="00227A3C">
      <w:pPr>
        <w:numPr>
          <w:ilvl w:val="0"/>
          <w:numId w:val="4"/>
        </w:numPr>
        <w:tabs>
          <w:tab w:val="left" w:pos="567"/>
          <w:tab w:val="left" w:pos="851"/>
        </w:tabs>
        <w:spacing w:after="0" w:line="240" w:lineRule="auto"/>
        <w:ind w:left="0" w:firstLine="284"/>
        <w:contextualSpacing/>
        <w:jc w:val="both"/>
        <w:rPr>
          <w:rFonts w:ascii="Times New Roman" w:eastAsia="Calibri" w:hAnsi="Times New Roman" w:cs="Times New Roman"/>
          <w:b/>
          <w:i/>
          <w:color w:val="000000"/>
          <w:sz w:val="24"/>
          <w:szCs w:val="24"/>
          <w:lang w:val="ro-RO"/>
        </w:rPr>
      </w:pPr>
      <w:r w:rsidRPr="00227A3C">
        <w:rPr>
          <w:rFonts w:ascii="Times New Roman" w:eastAsia="Calibri" w:hAnsi="Times New Roman" w:cs="Times New Roman"/>
          <w:b/>
          <w:i/>
          <w:color w:val="000000"/>
          <w:sz w:val="24"/>
          <w:szCs w:val="24"/>
          <w:lang w:val="ro-RO"/>
        </w:rPr>
        <w:t>Descrierea generală a executării bugetului a instituțiilor bugetare de nivelul II</w:t>
      </w:r>
    </w:p>
    <w:p w:rsidR="00227A3C" w:rsidRPr="00227A3C" w:rsidRDefault="00227A3C" w:rsidP="00227A3C">
      <w:pPr>
        <w:spacing w:after="0" w:line="240" w:lineRule="auto"/>
        <w:jc w:val="both"/>
        <w:rPr>
          <w:rFonts w:ascii="Times New Roman" w:eastAsia="Calibri" w:hAnsi="Times New Roman" w:cs="Times New Roman"/>
          <w:sz w:val="24"/>
          <w:szCs w:val="24"/>
          <w:lang w:val="ro-RO"/>
        </w:rPr>
      </w:pPr>
      <w:r w:rsidRPr="00227A3C">
        <w:rPr>
          <w:rFonts w:ascii="Times New Roman" w:eastAsia="Calibri" w:hAnsi="Times New Roman" w:cs="Times New Roman"/>
          <w:b/>
          <w:i/>
          <w:color w:val="000000"/>
          <w:sz w:val="28"/>
          <w:lang w:val="ro-RO"/>
        </w:rPr>
        <w:t xml:space="preserve"> </w:t>
      </w:r>
      <w:r w:rsidRPr="00227A3C">
        <w:rPr>
          <w:rFonts w:ascii="Times New Roman" w:eastAsia="Calibri" w:hAnsi="Times New Roman" w:cs="Times New Roman"/>
          <w:color w:val="000000"/>
          <w:sz w:val="24"/>
          <w:szCs w:val="24"/>
          <w:lang w:val="ro-RO"/>
        </w:rPr>
        <w:t>Prin decizia Consiliului raional nr.6/29 din 11.12.2024 parametrii bugetului raional pentru anul 2025  au fost aprobați  atât  la venituri cât si la cheltuieli in suma de 202971.4 mii lei. Pe perioada primului  semestru al anului curent in rezultatul modificării bugetului (in baza propunerilor prezentate de executorii de buget) precum si a corelării bugetului raional cu bugetul de stat modificat prin Legea nr. 310 din 26 decembrie 2025, chit și prin Legea nr. 78 din 2025 veniturile precizate au fost majorate cu 19654.4 mii lei constituind 224779.8 mii lei, iar cheltuielile precizate au fost majorate cu  28077.8 mii lei, constituind  231049.2 mii lei</w:t>
      </w:r>
      <w:r w:rsidRPr="00227A3C">
        <w:rPr>
          <w:rFonts w:ascii="Times New Roman" w:eastAsia="Calibri" w:hAnsi="Times New Roman" w:cs="Times New Roman"/>
          <w:sz w:val="24"/>
          <w:szCs w:val="24"/>
          <w:lang w:val="ro-RO"/>
        </w:rPr>
        <w:t xml:space="preserve">. Devierea dintre cheltuieli si venituri s-a format in urma precizărilor din fondul disponibil a Consiliului raional la finele anului 2024 in mărime de 2271.0 mii lei , majorării transferurilor prin corelările de buget in suma de 19047.9 mii lei , majorarea veniturilor proprii în mărime de 606.5 mii lei chit și încasarea sumei de credit în mărime de 6154.0 mii lei.. </w:t>
      </w:r>
    </w:p>
    <w:p w:rsidR="00227A3C" w:rsidRPr="00227A3C" w:rsidRDefault="00227A3C" w:rsidP="00227A3C">
      <w:pPr>
        <w:spacing w:after="0" w:line="240" w:lineRule="auto"/>
        <w:ind w:firstLine="567"/>
        <w:contextualSpacing/>
        <w:jc w:val="center"/>
        <w:rPr>
          <w:rFonts w:ascii="Times New Roman" w:eastAsia="Calibri" w:hAnsi="Times New Roman" w:cs="Times New Roman"/>
          <w:b/>
          <w:color w:val="000000"/>
          <w:sz w:val="24"/>
          <w:szCs w:val="24"/>
          <w:lang w:val="ro-RO"/>
        </w:rPr>
      </w:pPr>
      <w:r w:rsidRPr="00227A3C">
        <w:rPr>
          <w:rFonts w:ascii="Times New Roman" w:eastAsia="Calibri" w:hAnsi="Times New Roman" w:cs="Times New Roman"/>
          <w:color w:val="000000"/>
          <w:sz w:val="24"/>
          <w:szCs w:val="24"/>
          <w:lang w:val="ro-RO"/>
        </w:rPr>
        <w:t xml:space="preserve">l. </w:t>
      </w:r>
      <w:r w:rsidRPr="00227A3C">
        <w:rPr>
          <w:rFonts w:ascii="Times New Roman" w:eastAsia="Calibri" w:hAnsi="Times New Roman" w:cs="Times New Roman"/>
          <w:b/>
          <w:color w:val="000000"/>
          <w:sz w:val="24"/>
          <w:szCs w:val="24"/>
          <w:lang w:val="ro-RO"/>
        </w:rPr>
        <w:t>Venituri</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color w:val="000000"/>
          <w:sz w:val="24"/>
          <w:szCs w:val="24"/>
          <w:lang w:val="ro-RO"/>
        </w:rPr>
        <w:t>Veniturile la finele perioadei de gestiune pentru I semestru 2025 au fost încasate în sumă de 106976.5 mii lei, având un plan anual precizat în mărime de 205125.4 mii lei, nivelul de executare  față de prevederile anuale precizate a constituit 47.6 %, care comparativ cu perioada similară a anului trecut sunt mai mari cu 4359,6 mii lei, dintre care:</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i/>
          <w:color w:val="000000"/>
          <w:sz w:val="24"/>
          <w:szCs w:val="24"/>
          <w:lang w:val="ro-RO"/>
        </w:rPr>
        <w:t xml:space="preserve"> - veniturile proprii ale bugetului raional</w:t>
      </w:r>
      <w:r w:rsidRPr="00227A3C">
        <w:rPr>
          <w:rFonts w:ascii="Times New Roman" w:eastAsia="Calibri" w:hAnsi="Times New Roman" w:cs="Times New Roman"/>
          <w:color w:val="000000"/>
          <w:sz w:val="24"/>
          <w:szCs w:val="24"/>
          <w:lang w:val="ro-RO"/>
        </w:rPr>
        <w:t xml:space="preserve"> aprobate in mărime de 7222,2 mii lei au fost precizate pe parcursul semestrului în sumă de 7828,7 mii lei, deci majorarea constituie 606,5 mii lei executarea fiind în sumă de  3662,0 mii lei. Majorarea s-a efectuat prin decizia Consiliului Raional nr. 1/2 din 31.01.25 conform demersurilor instituțiilor bugetare:</w:t>
      </w:r>
    </w:p>
    <w:p w:rsidR="00227A3C" w:rsidRPr="00227A3C" w:rsidRDefault="00227A3C" w:rsidP="00227A3C">
      <w:pPr>
        <w:spacing w:after="0" w:line="240" w:lineRule="auto"/>
        <w:ind w:firstLine="567"/>
        <w:contextualSpacing/>
        <w:jc w:val="both"/>
        <w:rPr>
          <w:rFonts w:ascii="Times New Roman" w:eastAsia="Calibri" w:hAnsi="Times New Roman" w:cs="Times New Roman"/>
          <w:iCs/>
          <w:color w:val="000000"/>
          <w:sz w:val="24"/>
          <w:szCs w:val="24"/>
          <w:lang w:val="ro-RO"/>
        </w:rPr>
      </w:pPr>
      <w:r w:rsidRPr="00227A3C">
        <w:rPr>
          <w:rFonts w:ascii="Times New Roman" w:eastAsia="Calibri" w:hAnsi="Times New Roman" w:cs="Times New Roman"/>
          <w:iCs/>
          <w:color w:val="000000"/>
          <w:sz w:val="24"/>
          <w:szCs w:val="24"/>
          <w:lang w:val="ro-RO"/>
        </w:rPr>
        <w:t>Gimnaziul Verejeni</w:t>
      </w:r>
      <w:r w:rsidRPr="00227A3C">
        <w:rPr>
          <w:rFonts w:ascii="Times New Roman" w:eastAsia="Calibri" w:hAnsi="Times New Roman" w:cs="Times New Roman"/>
          <w:i/>
          <w:color w:val="000000"/>
          <w:sz w:val="24"/>
          <w:szCs w:val="24"/>
          <w:lang w:val="ro-RO"/>
        </w:rPr>
        <w:t xml:space="preserve"> </w:t>
      </w:r>
      <w:r w:rsidRPr="00227A3C">
        <w:rPr>
          <w:rFonts w:ascii="Times New Roman" w:eastAsia="Calibri" w:hAnsi="Times New Roman" w:cs="Times New Roman"/>
          <w:iCs/>
          <w:color w:val="000000"/>
          <w:sz w:val="24"/>
          <w:szCs w:val="24"/>
          <w:lang w:val="ro-RO"/>
        </w:rPr>
        <w:t>- 540.0 mii lei (donații voluntare din surse externe)</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color w:val="000000"/>
          <w:sz w:val="24"/>
          <w:szCs w:val="24"/>
          <w:lang w:val="ro-RO"/>
        </w:rPr>
        <w:t>Școala sportivă pentru copii si juniori-66,5 mii lei (donații voluntare din surse interne).</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i/>
          <w:color w:val="000000"/>
          <w:sz w:val="24"/>
          <w:szCs w:val="24"/>
          <w:lang w:val="ro-RO"/>
        </w:rPr>
        <w:t xml:space="preserve"> - transferurile de la bugetul de stat </w:t>
      </w:r>
      <w:r w:rsidRPr="00227A3C">
        <w:rPr>
          <w:rFonts w:ascii="Times New Roman" w:eastAsia="Calibri" w:hAnsi="Times New Roman" w:cs="Times New Roman"/>
          <w:color w:val="000000"/>
          <w:sz w:val="24"/>
          <w:szCs w:val="24"/>
          <w:lang w:val="ro-RO"/>
        </w:rPr>
        <w:t>aprobate în mărime 197903,2 mii lei, au fost precizate pe parcursul semestrului în suma de 216951,1 mii lei, majorarea constituie 19047,9 mii lei, executarea fiind în sumă de 103314,5 mii lei.  Transferurile s-au majorat prin:</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bookmarkStart w:id="1" w:name="_Hlk203393837"/>
      <w:r w:rsidRPr="00227A3C">
        <w:rPr>
          <w:rFonts w:ascii="Times New Roman" w:eastAsia="Calibri" w:hAnsi="Times New Roman" w:cs="Times New Roman"/>
          <w:b/>
          <w:bCs/>
          <w:color w:val="000000"/>
          <w:sz w:val="24"/>
          <w:szCs w:val="24"/>
          <w:lang w:val="ro-RO"/>
        </w:rPr>
        <w:t xml:space="preserve">Legea Bugetului de stat nr. </w:t>
      </w:r>
      <w:bookmarkEnd w:id="1"/>
      <w:r w:rsidRPr="00227A3C">
        <w:rPr>
          <w:rFonts w:ascii="Times New Roman" w:eastAsia="Calibri" w:hAnsi="Times New Roman" w:cs="Times New Roman"/>
          <w:b/>
          <w:bCs/>
          <w:color w:val="000000"/>
          <w:sz w:val="24"/>
          <w:szCs w:val="24"/>
          <w:lang w:val="ro-RO"/>
        </w:rPr>
        <w:t>310</w:t>
      </w:r>
      <w:r w:rsidRPr="00227A3C">
        <w:rPr>
          <w:rFonts w:ascii="Times New Roman" w:eastAsia="Calibri" w:hAnsi="Times New Roman" w:cs="Times New Roman"/>
          <w:color w:val="000000"/>
          <w:sz w:val="24"/>
          <w:szCs w:val="24"/>
          <w:lang w:val="ro-RO"/>
        </w:rPr>
        <w:t xml:space="preserve"> in suma totala de 16518.1 mii lei, inclusiv:</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color w:val="000000"/>
          <w:sz w:val="24"/>
          <w:szCs w:val="24"/>
          <w:lang w:val="ro-RO"/>
        </w:rPr>
        <w:t xml:space="preserve">- învățământul preșcolar, primar, secundar general și complimentar au fost majorate normativul per/elev de la 19499.0 mii lei  la 20567.0 mii lei (diferența constituie  1068.0 lei pentru fiecare elev ponderat) cât și normativul pentru întreținerea instituției de la 1046500 lei  la 1103822 lei  (diferența constituie 56882  lei) în total suma majorată, conform calculului  constituie  - 13416,8 mii lei.   Creșterea mijloacelor financiare au fost redacționale pentru majorarea valorii de referință de la 2300 lei la 2500 lei, cât și pentru  alimentația elevilor claselor a V-IX   în sumă de 3623.6 mii lei. </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color w:val="000000"/>
          <w:sz w:val="24"/>
          <w:szCs w:val="24"/>
          <w:lang w:val="ro-RO"/>
        </w:rPr>
        <w:t xml:space="preserve"> - învățământul  pentru școlile sportive în sumă de 223,5 mii lei pentru majorarea valorii de referință.</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color w:val="000000"/>
          <w:sz w:val="24"/>
          <w:szCs w:val="24"/>
          <w:lang w:val="ro-RO"/>
        </w:rPr>
        <w:t>- transferuri curente pentru infrastructura drumurilor in suma de 2877.8 mii lei</w:t>
      </w:r>
    </w:p>
    <w:p w:rsidR="00227A3C" w:rsidRPr="00227A3C" w:rsidRDefault="00227A3C" w:rsidP="00227A3C">
      <w:pPr>
        <w:spacing w:after="0" w:line="240" w:lineRule="auto"/>
        <w:ind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b/>
          <w:bCs/>
          <w:color w:val="000000"/>
          <w:sz w:val="24"/>
          <w:szCs w:val="24"/>
          <w:lang w:val="ro-RO"/>
        </w:rPr>
        <w:t xml:space="preserve">Legea Bugetului de stat nr. 78 </w:t>
      </w:r>
      <w:r w:rsidRPr="00227A3C">
        <w:rPr>
          <w:rFonts w:ascii="Times New Roman" w:eastAsia="Calibri" w:hAnsi="Times New Roman" w:cs="Times New Roman"/>
          <w:color w:val="000000"/>
          <w:sz w:val="24"/>
          <w:szCs w:val="24"/>
          <w:lang w:val="ro-RO"/>
        </w:rPr>
        <w:t>in suma totala de 2529.8 mii lei, inclusiv:</w:t>
      </w:r>
    </w:p>
    <w:p w:rsidR="00227A3C" w:rsidRPr="00227A3C" w:rsidRDefault="00227A3C" w:rsidP="00A3541F">
      <w:pPr>
        <w:numPr>
          <w:ilvl w:val="0"/>
          <w:numId w:val="7"/>
        </w:numPr>
        <w:spacing w:after="0" w:line="240" w:lineRule="auto"/>
        <w:ind w:left="0"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color w:val="000000"/>
          <w:sz w:val="24"/>
          <w:szCs w:val="24"/>
          <w:lang w:val="ro-RO"/>
        </w:rPr>
        <w:t>învățământul preșcolar, primar, secundar general și complimentar in suma de - 2515.1 mii lei, pentru renovarea și dotarea blocurilor alimentare pentru asigurarea alimentarii gratuite a elevilor claselor V-IX pe fiecare autoritate publica locala de nivelul al doilea.</w:t>
      </w:r>
    </w:p>
    <w:p w:rsidR="00227A3C" w:rsidRPr="00227A3C" w:rsidRDefault="00227A3C" w:rsidP="00A3541F">
      <w:pPr>
        <w:numPr>
          <w:ilvl w:val="0"/>
          <w:numId w:val="7"/>
        </w:numPr>
        <w:spacing w:after="0" w:line="240" w:lineRule="auto"/>
        <w:ind w:left="0" w:firstLine="567"/>
        <w:contextualSpacing/>
        <w:jc w:val="both"/>
        <w:rPr>
          <w:rFonts w:ascii="Times New Roman" w:eastAsia="Calibri" w:hAnsi="Times New Roman" w:cs="Times New Roman"/>
          <w:color w:val="000000"/>
          <w:sz w:val="24"/>
          <w:szCs w:val="24"/>
          <w:lang w:val="ro-RO"/>
        </w:rPr>
      </w:pPr>
      <w:r w:rsidRPr="00227A3C">
        <w:rPr>
          <w:rFonts w:ascii="Times New Roman" w:eastAsia="Calibri" w:hAnsi="Times New Roman" w:cs="Times New Roman"/>
          <w:color w:val="000000"/>
          <w:sz w:val="24"/>
          <w:szCs w:val="24"/>
          <w:lang w:val="ro-RO"/>
        </w:rPr>
        <w:t xml:space="preserve"> suplinirea mijloacelor financiare pentru organizarea și desfășurarea examenelor de absolvire a treptei gimnaziale in suma de 14.7 mii lei.</w:t>
      </w:r>
    </w:p>
    <w:tbl>
      <w:tblPr>
        <w:tblStyle w:val="GrilTabel1"/>
        <w:tblpPr w:leftFromText="180" w:rightFromText="180" w:vertAnchor="page" w:horzAnchor="margin" w:tblpY="2731"/>
        <w:tblW w:w="9733" w:type="dxa"/>
        <w:tblLook w:val="04A0" w:firstRow="1" w:lastRow="0" w:firstColumn="1" w:lastColumn="0" w:noHBand="0" w:noVBand="1"/>
      </w:tblPr>
      <w:tblGrid>
        <w:gridCol w:w="2159"/>
        <w:gridCol w:w="1518"/>
        <w:gridCol w:w="1465"/>
        <w:gridCol w:w="1459"/>
        <w:gridCol w:w="1478"/>
        <w:gridCol w:w="1654"/>
      </w:tblGrid>
      <w:tr w:rsidR="00227A3C" w:rsidRPr="00227A3C" w:rsidTr="00386906">
        <w:trPr>
          <w:trHeight w:val="377"/>
        </w:trPr>
        <w:tc>
          <w:tcPr>
            <w:tcW w:w="2159" w:type="dxa"/>
            <w:vMerge w:val="restart"/>
            <w:vAlign w:val="center"/>
          </w:tcPr>
          <w:p w:rsidR="00227A3C" w:rsidRPr="00227A3C" w:rsidRDefault="00227A3C" w:rsidP="00227A3C">
            <w:pPr>
              <w:spacing w:after="0" w:line="240" w:lineRule="auto"/>
              <w:ind w:left="-510" w:firstLine="567"/>
              <w:jc w:val="center"/>
              <w:rPr>
                <w:rFonts w:ascii="Times New Roman" w:eastAsia="Calibri" w:hAnsi="Times New Roman" w:cs="Times New Roman"/>
                <w:b/>
                <w:sz w:val="24"/>
                <w:szCs w:val="24"/>
                <w:lang w:val="ro-RO"/>
              </w:rPr>
            </w:pPr>
            <w:r w:rsidRPr="00227A3C">
              <w:rPr>
                <w:rFonts w:ascii="Times New Roman" w:eastAsia="Calibri" w:hAnsi="Times New Roman" w:cs="Times New Roman"/>
                <w:b/>
                <w:sz w:val="24"/>
                <w:szCs w:val="24"/>
                <w:lang w:val="ro-RO"/>
              </w:rPr>
              <w:lastRenderedPageBreak/>
              <w:t>Denumirea</w:t>
            </w:r>
          </w:p>
        </w:tc>
        <w:tc>
          <w:tcPr>
            <w:tcW w:w="1518" w:type="dxa"/>
            <w:vMerge w:val="restart"/>
            <w:vAlign w:val="center"/>
          </w:tcPr>
          <w:p w:rsidR="00227A3C" w:rsidRPr="00227A3C" w:rsidRDefault="00227A3C" w:rsidP="00227A3C">
            <w:pPr>
              <w:spacing w:after="0" w:line="240" w:lineRule="auto"/>
              <w:ind w:left="-510" w:firstLine="567"/>
              <w:jc w:val="center"/>
              <w:rPr>
                <w:rFonts w:ascii="Times New Roman" w:eastAsia="Calibri" w:hAnsi="Times New Roman" w:cs="Times New Roman"/>
                <w:b/>
                <w:sz w:val="24"/>
                <w:szCs w:val="24"/>
                <w:lang w:val="ro-RO"/>
              </w:rPr>
            </w:pPr>
            <w:r w:rsidRPr="00227A3C">
              <w:rPr>
                <w:rFonts w:ascii="Times New Roman" w:eastAsia="Calibri" w:hAnsi="Times New Roman" w:cs="Times New Roman"/>
                <w:b/>
                <w:sz w:val="24"/>
                <w:szCs w:val="24"/>
                <w:lang w:val="ro-RO"/>
              </w:rPr>
              <w:t>Aprobat</w:t>
            </w:r>
          </w:p>
        </w:tc>
        <w:tc>
          <w:tcPr>
            <w:tcW w:w="4402" w:type="dxa"/>
            <w:gridSpan w:val="3"/>
            <w:tcBorders>
              <w:bottom w:val="single" w:sz="4" w:space="0" w:color="auto"/>
            </w:tcBorders>
            <w:vAlign w:val="center"/>
          </w:tcPr>
          <w:p w:rsidR="00227A3C" w:rsidRPr="00227A3C" w:rsidRDefault="00227A3C" w:rsidP="00227A3C">
            <w:pPr>
              <w:spacing w:after="0" w:line="240" w:lineRule="auto"/>
              <w:ind w:left="-510" w:firstLine="567"/>
              <w:jc w:val="center"/>
              <w:rPr>
                <w:rFonts w:ascii="Times New Roman" w:eastAsia="Calibri" w:hAnsi="Times New Roman" w:cs="Times New Roman"/>
                <w:b/>
                <w:sz w:val="24"/>
                <w:szCs w:val="24"/>
                <w:lang w:val="ro-RO"/>
              </w:rPr>
            </w:pPr>
            <w:r w:rsidRPr="00227A3C">
              <w:rPr>
                <w:rFonts w:ascii="Times New Roman" w:eastAsia="Calibri" w:hAnsi="Times New Roman" w:cs="Times New Roman"/>
                <w:b/>
                <w:sz w:val="24"/>
                <w:szCs w:val="24"/>
                <w:lang w:val="ro-RO"/>
              </w:rPr>
              <w:t>Precizat</w:t>
            </w:r>
          </w:p>
        </w:tc>
        <w:tc>
          <w:tcPr>
            <w:tcW w:w="1654" w:type="dxa"/>
            <w:vMerge w:val="restart"/>
            <w:vAlign w:val="center"/>
          </w:tcPr>
          <w:p w:rsidR="00227A3C" w:rsidRPr="00227A3C" w:rsidRDefault="00227A3C" w:rsidP="00227A3C">
            <w:pPr>
              <w:spacing w:after="0" w:line="240" w:lineRule="auto"/>
              <w:ind w:left="-510" w:firstLine="567"/>
              <w:jc w:val="center"/>
              <w:rPr>
                <w:rFonts w:ascii="Times New Roman" w:eastAsia="Calibri" w:hAnsi="Times New Roman" w:cs="Times New Roman"/>
                <w:b/>
                <w:sz w:val="24"/>
                <w:szCs w:val="24"/>
                <w:lang w:val="ro-RO"/>
              </w:rPr>
            </w:pPr>
            <w:r w:rsidRPr="00227A3C">
              <w:rPr>
                <w:rFonts w:ascii="Times New Roman" w:eastAsia="Calibri" w:hAnsi="Times New Roman" w:cs="Times New Roman"/>
                <w:b/>
                <w:sz w:val="24"/>
                <w:szCs w:val="24"/>
                <w:lang w:val="ro-RO"/>
              </w:rPr>
              <w:t>Executat</w:t>
            </w:r>
          </w:p>
        </w:tc>
      </w:tr>
      <w:tr w:rsidR="00227A3C" w:rsidRPr="00227A3C" w:rsidTr="00386906">
        <w:trPr>
          <w:trHeight w:val="381"/>
        </w:trPr>
        <w:tc>
          <w:tcPr>
            <w:tcW w:w="2159" w:type="dxa"/>
            <w:vMerge/>
          </w:tcPr>
          <w:p w:rsidR="00227A3C" w:rsidRPr="00227A3C" w:rsidRDefault="00227A3C" w:rsidP="00227A3C">
            <w:pPr>
              <w:spacing w:after="0" w:line="240" w:lineRule="auto"/>
              <w:ind w:firstLine="567"/>
              <w:jc w:val="center"/>
              <w:rPr>
                <w:rFonts w:ascii="Times New Roman" w:eastAsia="Calibri" w:hAnsi="Times New Roman" w:cs="Times New Roman"/>
                <w:b/>
                <w:szCs w:val="24"/>
                <w:lang w:val="ro-RO"/>
              </w:rPr>
            </w:pPr>
          </w:p>
        </w:tc>
        <w:tc>
          <w:tcPr>
            <w:tcW w:w="1518" w:type="dxa"/>
            <w:vMerge/>
          </w:tcPr>
          <w:p w:rsidR="00227A3C" w:rsidRPr="00227A3C" w:rsidRDefault="00227A3C" w:rsidP="00227A3C">
            <w:pPr>
              <w:spacing w:after="0" w:line="240" w:lineRule="auto"/>
              <w:ind w:firstLine="567"/>
              <w:jc w:val="center"/>
              <w:rPr>
                <w:rFonts w:ascii="Times New Roman" w:eastAsia="Calibri" w:hAnsi="Times New Roman" w:cs="Times New Roman"/>
                <w:b/>
                <w:szCs w:val="24"/>
                <w:lang w:val="ro-RO"/>
              </w:rPr>
            </w:pPr>
          </w:p>
        </w:tc>
        <w:tc>
          <w:tcPr>
            <w:tcW w:w="1465" w:type="dxa"/>
            <w:tcBorders>
              <w:top w:val="single" w:sz="4" w:space="0" w:color="auto"/>
            </w:tcBorders>
            <w:vAlign w:val="center"/>
          </w:tcPr>
          <w:p w:rsidR="00227A3C" w:rsidRPr="00227A3C" w:rsidRDefault="00227A3C" w:rsidP="00227A3C">
            <w:pPr>
              <w:spacing w:after="0" w:line="240" w:lineRule="auto"/>
              <w:ind w:left="57"/>
              <w:rPr>
                <w:rFonts w:ascii="Times New Roman" w:eastAsia="Calibri" w:hAnsi="Times New Roman" w:cs="Times New Roman"/>
                <w:b/>
                <w:szCs w:val="24"/>
                <w:lang w:val="ro-RO"/>
              </w:rPr>
            </w:pPr>
            <w:r w:rsidRPr="00227A3C">
              <w:rPr>
                <w:rFonts w:ascii="Times New Roman" w:eastAsia="Calibri" w:hAnsi="Times New Roman" w:cs="Times New Roman"/>
                <w:b/>
                <w:szCs w:val="24"/>
                <w:lang w:val="ro-RO"/>
              </w:rPr>
              <w:t xml:space="preserve">  Total</w:t>
            </w:r>
            <w:r w:rsidRPr="00227A3C">
              <w:rPr>
                <w:rFonts w:ascii="Times New Roman" w:eastAsia="Calibri" w:hAnsi="Times New Roman" w:cs="Times New Roman"/>
                <w:i/>
                <w:sz w:val="24"/>
                <w:szCs w:val="24"/>
                <w:lang w:val="ro-RO"/>
              </w:rPr>
              <w:t xml:space="preserve">      inclusiv:</w:t>
            </w:r>
          </w:p>
        </w:tc>
        <w:tc>
          <w:tcPr>
            <w:tcW w:w="1459" w:type="dxa"/>
            <w:tcBorders>
              <w:top w:val="single" w:sz="4" w:space="0" w:color="auto"/>
            </w:tcBorders>
            <w:vAlign w:val="center"/>
          </w:tcPr>
          <w:p w:rsidR="00227A3C" w:rsidRPr="00227A3C" w:rsidRDefault="00227A3C" w:rsidP="00227A3C">
            <w:pPr>
              <w:spacing w:after="0" w:line="240" w:lineRule="auto"/>
              <w:ind w:left="-227"/>
              <w:rPr>
                <w:rFonts w:ascii="Times New Roman" w:eastAsia="Calibri" w:hAnsi="Times New Roman" w:cs="Times New Roman"/>
                <w:b/>
                <w:szCs w:val="24"/>
                <w:lang w:val="ro-RO"/>
              </w:rPr>
            </w:pPr>
            <w:r w:rsidRPr="00227A3C">
              <w:rPr>
                <w:rFonts w:ascii="Times New Roman" w:eastAsia="Calibri" w:hAnsi="Times New Roman" w:cs="Times New Roman"/>
                <w:b/>
                <w:sz w:val="24"/>
                <w:szCs w:val="24"/>
                <w:lang w:val="ro-RO"/>
              </w:rPr>
              <w:t xml:space="preserve">    Corelat I</w:t>
            </w:r>
          </w:p>
        </w:tc>
        <w:tc>
          <w:tcPr>
            <w:tcW w:w="1477" w:type="dxa"/>
            <w:tcBorders>
              <w:top w:val="single" w:sz="4" w:space="0" w:color="auto"/>
            </w:tcBorders>
            <w:vAlign w:val="center"/>
          </w:tcPr>
          <w:p w:rsidR="00227A3C" w:rsidRPr="00227A3C" w:rsidRDefault="00227A3C" w:rsidP="00227A3C">
            <w:pPr>
              <w:spacing w:after="0" w:line="240" w:lineRule="auto"/>
              <w:rPr>
                <w:rFonts w:ascii="Times New Roman" w:eastAsia="Calibri" w:hAnsi="Times New Roman" w:cs="Times New Roman"/>
                <w:b/>
                <w:szCs w:val="24"/>
                <w:lang w:val="ro-RO"/>
              </w:rPr>
            </w:pPr>
            <w:r w:rsidRPr="00227A3C">
              <w:rPr>
                <w:rFonts w:ascii="Times New Roman" w:eastAsia="Calibri" w:hAnsi="Times New Roman" w:cs="Times New Roman"/>
                <w:b/>
                <w:sz w:val="24"/>
                <w:szCs w:val="24"/>
                <w:lang w:val="ro-RO"/>
              </w:rPr>
              <w:t>Corelat II</w:t>
            </w:r>
          </w:p>
        </w:tc>
        <w:tc>
          <w:tcPr>
            <w:tcW w:w="1654" w:type="dxa"/>
            <w:vMerge/>
          </w:tcPr>
          <w:p w:rsidR="00227A3C" w:rsidRPr="00227A3C" w:rsidRDefault="00227A3C" w:rsidP="00227A3C">
            <w:pPr>
              <w:spacing w:after="0" w:line="240" w:lineRule="auto"/>
              <w:ind w:firstLine="567"/>
              <w:jc w:val="center"/>
              <w:rPr>
                <w:rFonts w:ascii="Times New Roman" w:eastAsia="Calibri" w:hAnsi="Times New Roman" w:cs="Times New Roman"/>
                <w:b/>
                <w:szCs w:val="24"/>
                <w:lang w:val="ro-RO"/>
              </w:rPr>
            </w:pPr>
          </w:p>
        </w:tc>
      </w:tr>
      <w:tr w:rsidR="00227A3C" w:rsidRPr="00227A3C" w:rsidTr="00386906">
        <w:trPr>
          <w:trHeight w:val="354"/>
        </w:trPr>
        <w:tc>
          <w:tcPr>
            <w:tcW w:w="2159" w:type="dxa"/>
          </w:tcPr>
          <w:p w:rsidR="00227A3C" w:rsidRPr="00227A3C" w:rsidRDefault="00227A3C" w:rsidP="00227A3C">
            <w:pPr>
              <w:spacing w:after="0" w:line="240" w:lineRule="auto"/>
              <w:ind w:left="-567" w:firstLine="567"/>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Total venituri</w:t>
            </w:r>
          </w:p>
          <w:p w:rsidR="00227A3C" w:rsidRPr="00227A3C" w:rsidRDefault="00227A3C" w:rsidP="00227A3C">
            <w:pPr>
              <w:spacing w:after="0" w:line="240" w:lineRule="auto"/>
              <w:ind w:left="-567" w:firstLine="567"/>
              <w:jc w:val="right"/>
              <w:rPr>
                <w:rFonts w:ascii="Times New Roman" w:eastAsia="Calibri" w:hAnsi="Times New Roman" w:cs="Times New Roman"/>
                <w:i/>
                <w:sz w:val="24"/>
                <w:szCs w:val="24"/>
                <w:lang w:val="ro-RO"/>
              </w:rPr>
            </w:pPr>
            <w:r w:rsidRPr="00227A3C">
              <w:rPr>
                <w:rFonts w:ascii="Times New Roman" w:eastAsia="Calibri" w:hAnsi="Times New Roman" w:cs="Times New Roman"/>
                <w:i/>
                <w:sz w:val="24"/>
                <w:szCs w:val="24"/>
                <w:lang w:val="ro-RO"/>
              </w:rPr>
              <w:t>inclusiv:</w:t>
            </w:r>
          </w:p>
        </w:tc>
        <w:tc>
          <w:tcPr>
            <w:tcW w:w="1518"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205125,4</w:t>
            </w:r>
          </w:p>
        </w:tc>
        <w:tc>
          <w:tcPr>
            <w:tcW w:w="1465"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224779,8</w:t>
            </w:r>
          </w:p>
        </w:tc>
        <w:tc>
          <w:tcPr>
            <w:tcW w:w="1459"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16518,1</w:t>
            </w:r>
          </w:p>
        </w:tc>
        <w:tc>
          <w:tcPr>
            <w:tcW w:w="1477"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2529,8</w:t>
            </w:r>
          </w:p>
        </w:tc>
        <w:tc>
          <w:tcPr>
            <w:tcW w:w="1654"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106976,5</w:t>
            </w:r>
          </w:p>
        </w:tc>
      </w:tr>
      <w:tr w:rsidR="00227A3C" w:rsidRPr="00227A3C" w:rsidTr="00386906">
        <w:trPr>
          <w:trHeight w:val="335"/>
        </w:trPr>
        <w:tc>
          <w:tcPr>
            <w:tcW w:w="2159" w:type="dxa"/>
          </w:tcPr>
          <w:p w:rsidR="00227A3C" w:rsidRPr="00227A3C" w:rsidRDefault="00227A3C" w:rsidP="00227A3C">
            <w:pPr>
              <w:spacing w:after="0" w:line="240" w:lineRule="auto"/>
              <w:ind w:left="-567" w:firstLine="567"/>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Venituri proprii</w:t>
            </w:r>
          </w:p>
        </w:tc>
        <w:tc>
          <w:tcPr>
            <w:tcW w:w="1518"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7222,2</w:t>
            </w:r>
          </w:p>
        </w:tc>
        <w:tc>
          <w:tcPr>
            <w:tcW w:w="1465"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7828,7</w:t>
            </w:r>
          </w:p>
        </w:tc>
        <w:tc>
          <w:tcPr>
            <w:tcW w:w="1459"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p>
        </w:tc>
        <w:tc>
          <w:tcPr>
            <w:tcW w:w="1477"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p>
        </w:tc>
        <w:tc>
          <w:tcPr>
            <w:tcW w:w="1654"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3662,0</w:t>
            </w:r>
          </w:p>
        </w:tc>
      </w:tr>
      <w:tr w:rsidR="00227A3C" w:rsidRPr="00227A3C" w:rsidTr="00386906">
        <w:trPr>
          <w:trHeight w:val="316"/>
        </w:trPr>
        <w:tc>
          <w:tcPr>
            <w:tcW w:w="2159" w:type="dxa"/>
          </w:tcPr>
          <w:p w:rsidR="00227A3C" w:rsidRPr="00227A3C" w:rsidRDefault="00227A3C" w:rsidP="00227A3C">
            <w:pPr>
              <w:spacing w:after="0" w:line="240" w:lineRule="auto"/>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Transferuri de la bugetul de stat</w:t>
            </w:r>
          </w:p>
        </w:tc>
        <w:tc>
          <w:tcPr>
            <w:tcW w:w="1518"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197903,2</w:t>
            </w:r>
          </w:p>
        </w:tc>
        <w:tc>
          <w:tcPr>
            <w:tcW w:w="1465"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216951,1</w:t>
            </w:r>
          </w:p>
        </w:tc>
        <w:tc>
          <w:tcPr>
            <w:tcW w:w="1459"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16518,1</w:t>
            </w:r>
          </w:p>
        </w:tc>
        <w:tc>
          <w:tcPr>
            <w:tcW w:w="1477"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2529,8</w:t>
            </w:r>
          </w:p>
        </w:tc>
        <w:tc>
          <w:tcPr>
            <w:tcW w:w="1654" w:type="dxa"/>
            <w:vAlign w:val="center"/>
          </w:tcPr>
          <w:p w:rsidR="00227A3C" w:rsidRPr="00227A3C" w:rsidRDefault="00227A3C" w:rsidP="00227A3C">
            <w:pPr>
              <w:spacing w:after="0" w:line="240" w:lineRule="auto"/>
              <w:ind w:left="-567" w:firstLine="567"/>
              <w:jc w:val="center"/>
              <w:rPr>
                <w:rFonts w:ascii="Times New Roman" w:eastAsia="Calibri" w:hAnsi="Times New Roman" w:cs="Times New Roman"/>
                <w:sz w:val="24"/>
                <w:szCs w:val="24"/>
                <w:lang w:val="ro-RO"/>
              </w:rPr>
            </w:pPr>
            <w:r w:rsidRPr="00227A3C">
              <w:rPr>
                <w:rFonts w:ascii="Times New Roman" w:eastAsia="Calibri" w:hAnsi="Times New Roman" w:cs="Times New Roman"/>
                <w:sz w:val="24"/>
                <w:szCs w:val="24"/>
                <w:lang w:val="ro-RO"/>
              </w:rPr>
              <w:t>103314,5</w:t>
            </w:r>
          </w:p>
        </w:tc>
      </w:tr>
    </w:tbl>
    <w:p w:rsidR="00227A3C" w:rsidRPr="00227A3C" w:rsidRDefault="00227A3C" w:rsidP="00227A3C">
      <w:pPr>
        <w:spacing w:after="0" w:line="240" w:lineRule="auto"/>
        <w:ind w:firstLine="567"/>
        <w:contextualSpacing/>
        <w:jc w:val="both"/>
        <w:rPr>
          <w:rFonts w:ascii="Times New Roman" w:eastAsia="Calibri" w:hAnsi="Times New Roman" w:cs="Times New Roman"/>
          <w:i/>
          <w:color w:val="000000"/>
          <w:sz w:val="24"/>
          <w:szCs w:val="24"/>
          <w:lang w:val="ro-RO"/>
        </w:rPr>
      </w:pPr>
      <w:r w:rsidRPr="00227A3C">
        <w:rPr>
          <w:rFonts w:ascii="Times New Roman" w:eastAsia="Calibri" w:hAnsi="Times New Roman" w:cs="Times New Roman"/>
          <w:color w:val="000000"/>
          <w:sz w:val="24"/>
          <w:szCs w:val="24"/>
          <w:lang w:val="ro-RO"/>
        </w:rPr>
        <w:t xml:space="preserve">     </w:t>
      </w:r>
      <w:r w:rsidRPr="00227A3C">
        <w:rPr>
          <w:rFonts w:ascii="Times New Roman" w:eastAsia="Calibri" w:hAnsi="Times New Roman" w:cs="Times New Roman"/>
          <w:i/>
          <w:color w:val="000000"/>
          <w:sz w:val="24"/>
          <w:szCs w:val="24"/>
          <w:lang w:val="ro-RO"/>
        </w:rPr>
        <w:t xml:space="preserve">        </w:t>
      </w:r>
    </w:p>
    <w:p w:rsidR="00227A3C" w:rsidRPr="00227A3C" w:rsidRDefault="00227A3C" w:rsidP="00227A3C">
      <w:pPr>
        <w:spacing w:after="0" w:line="240" w:lineRule="auto"/>
        <w:ind w:firstLine="567"/>
        <w:contextualSpacing/>
        <w:jc w:val="both"/>
        <w:rPr>
          <w:rFonts w:ascii="Times New Roman" w:eastAsia="Calibri" w:hAnsi="Times New Roman" w:cs="Times New Roman"/>
          <w:iCs/>
          <w:color w:val="000000"/>
          <w:sz w:val="24"/>
          <w:szCs w:val="24"/>
          <w:lang w:val="ro-RO"/>
        </w:rPr>
      </w:pPr>
      <w:r w:rsidRPr="00227A3C">
        <w:rPr>
          <w:rFonts w:ascii="Times New Roman" w:eastAsia="Calibri" w:hAnsi="Times New Roman" w:cs="Times New Roman"/>
          <w:iCs/>
          <w:color w:val="000000"/>
          <w:sz w:val="24"/>
          <w:szCs w:val="24"/>
          <w:lang w:val="ro-RO"/>
        </w:rPr>
        <w:t>Ponderea veniturilor proprii din totalul bugetului aprobat constituie 3,5 %</w:t>
      </w:r>
      <w:r w:rsidRPr="00227A3C">
        <w:rPr>
          <w:rFonts w:ascii="Times New Roman" w:eastAsia="Calibri" w:hAnsi="Times New Roman" w:cs="Times New Roman"/>
          <w:i/>
          <w:color w:val="000000"/>
          <w:sz w:val="24"/>
          <w:szCs w:val="24"/>
          <w:lang w:val="ro-RO"/>
        </w:rPr>
        <w:t xml:space="preserve"> </w:t>
      </w:r>
      <w:r w:rsidRPr="00227A3C">
        <w:rPr>
          <w:rFonts w:ascii="Times New Roman" w:eastAsia="Calibri" w:hAnsi="Times New Roman" w:cs="Times New Roman"/>
          <w:iCs/>
          <w:color w:val="000000"/>
          <w:sz w:val="24"/>
          <w:szCs w:val="24"/>
          <w:lang w:val="ro-RO"/>
        </w:rPr>
        <w:t>pe când transferurile 96,5 %.</w:t>
      </w:r>
    </w:p>
    <w:p w:rsidR="00227A3C" w:rsidRPr="00227A3C" w:rsidRDefault="00227A3C" w:rsidP="00227A3C">
      <w:pPr>
        <w:spacing w:after="0" w:line="240" w:lineRule="auto"/>
        <w:ind w:firstLine="567"/>
        <w:contextualSpacing/>
        <w:jc w:val="both"/>
        <w:rPr>
          <w:rFonts w:ascii="Times New Roman" w:eastAsia="Calibri" w:hAnsi="Times New Roman" w:cs="Times New Roman"/>
          <w:iCs/>
          <w:color w:val="000000"/>
          <w:sz w:val="24"/>
          <w:szCs w:val="24"/>
          <w:lang w:val="ro-RO"/>
        </w:rPr>
      </w:pPr>
      <w:r w:rsidRPr="00227A3C">
        <w:rPr>
          <w:rFonts w:ascii="Times New Roman" w:eastAsia="Calibri" w:hAnsi="Times New Roman" w:cs="Times New Roman"/>
          <w:iCs/>
          <w:color w:val="000000"/>
          <w:sz w:val="24"/>
          <w:szCs w:val="24"/>
          <w:lang w:val="ro-RO"/>
        </w:rPr>
        <w:t xml:space="preserve">Veniturilor proprii la finele perioadei de gestiune au fost executate in mărime de 3662.0 mii lei din planul precizat de 7828.7 mii lei executarea   constituie 46,8 %.    </w:t>
      </w:r>
    </w:p>
    <w:p w:rsidR="00227A3C" w:rsidRPr="00227A3C" w:rsidRDefault="00227A3C" w:rsidP="00227A3C">
      <w:pPr>
        <w:spacing w:after="0" w:line="240" w:lineRule="auto"/>
        <w:ind w:firstLine="567"/>
        <w:contextualSpacing/>
        <w:rPr>
          <w:rFonts w:ascii="Times New Roman" w:eastAsia="Calibri" w:hAnsi="Times New Roman" w:cs="Times New Roman"/>
          <w:sz w:val="24"/>
          <w:lang w:val="ro-RO"/>
        </w:rPr>
      </w:pPr>
    </w:p>
    <w:p w:rsidR="00227A3C" w:rsidRPr="00227A3C" w:rsidRDefault="00227A3C" w:rsidP="00227A3C">
      <w:pPr>
        <w:spacing w:after="0" w:line="240" w:lineRule="auto"/>
        <w:ind w:firstLine="567"/>
        <w:contextualSpacing/>
        <w:rPr>
          <w:rFonts w:ascii="Times New Roman" w:eastAsia="Calibri" w:hAnsi="Times New Roman" w:cs="Times New Roman"/>
          <w:sz w:val="24"/>
          <w:lang w:val="ro-RO"/>
        </w:rPr>
      </w:pPr>
      <w:r w:rsidRPr="00227A3C">
        <w:rPr>
          <w:rFonts w:ascii="Times New Roman" w:eastAsia="Calibri" w:hAnsi="Times New Roman" w:cs="Times New Roman"/>
          <w:sz w:val="24"/>
          <w:lang w:val="ro-RO"/>
        </w:rPr>
        <w:t>Veniturile proprii  a  bugetului raional sunt formate din următoarele:</w:t>
      </w:r>
    </w:p>
    <w:p w:rsidR="00227A3C" w:rsidRPr="00227A3C" w:rsidRDefault="00227A3C" w:rsidP="00227A3C">
      <w:pPr>
        <w:spacing w:after="0" w:line="240" w:lineRule="auto"/>
        <w:ind w:firstLine="567"/>
        <w:contextualSpacing/>
        <w:jc w:val="both"/>
        <w:rPr>
          <w:rFonts w:ascii="Times New Roman" w:eastAsia="Calibri" w:hAnsi="Times New Roman" w:cs="Times New Roman"/>
          <w:sz w:val="24"/>
          <w:lang w:val="ro-RO"/>
        </w:rPr>
      </w:pPr>
      <w:r w:rsidRPr="00227A3C">
        <w:rPr>
          <w:rFonts w:ascii="Times New Roman" w:eastAsia="Calibri" w:hAnsi="Times New Roman" w:cs="Times New Roman"/>
          <w:b/>
          <w:i/>
          <w:sz w:val="24"/>
          <w:lang w:val="ro-RO"/>
        </w:rPr>
        <w:t>- Impozite pe venitul persoanelor fizice</w:t>
      </w:r>
      <w:r w:rsidRPr="00227A3C">
        <w:rPr>
          <w:rFonts w:ascii="Times New Roman" w:eastAsia="Calibri" w:hAnsi="Times New Roman" w:cs="Times New Roman"/>
          <w:sz w:val="24"/>
          <w:lang w:val="ro-RO"/>
        </w:rPr>
        <w:t xml:space="preserve"> (doar 25% din suma acumulata pe teritoriul primarei </w:t>
      </w:r>
    </w:p>
    <w:p w:rsidR="00227A3C" w:rsidRPr="00227A3C" w:rsidRDefault="00227A3C" w:rsidP="00227A3C">
      <w:pPr>
        <w:spacing w:after="0" w:line="240" w:lineRule="auto"/>
        <w:contextualSpacing/>
        <w:jc w:val="both"/>
        <w:rPr>
          <w:rFonts w:ascii="Times New Roman" w:eastAsia="Calibri" w:hAnsi="Times New Roman" w:cs="Times New Roman"/>
          <w:sz w:val="24"/>
          <w:lang w:val="ro-RO"/>
        </w:rPr>
      </w:pPr>
    </w:p>
    <w:p w:rsidR="00227A3C" w:rsidRPr="00227A3C" w:rsidRDefault="00227A3C" w:rsidP="00227A3C">
      <w:pPr>
        <w:spacing w:after="0" w:line="240" w:lineRule="auto"/>
        <w:contextualSpacing/>
        <w:jc w:val="both"/>
        <w:rPr>
          <w:rFonts w:ascii="Times New Roman" w:eastAsia="Calibri" w:hAnsi="Times New Roman" w:cs="Times New Roman"/>
          <w:sz w:val="24"/>
          <w:lang w:val="ro-RO"/>
        </w:rPr>
      </w:pPr>
      <w:r w:rsidRPr="00227A3C">
        <w:rPr>
          <w:rFonts w:ascii="Times New Roman" w:eastAsia="Calibri" w:hAnsi="Times New Roman" w:cs="Times New Roman"/>
          <w:sz w:val="24"/>
          <w:lang w:val="ro-RO"/>
        </w:rPr>
        <w:t>orășelului) plan precizat anual  6111,2 mii lei executat   2979,6 mii lei procentul executării  constitute    48.8%. Executatul anului curent față de perioada de gestiune a anului precedent se atesta o majorare de  354.4 mii lei.</w:t>
      </w:r>
    </w:p>
    <w:p w:rsidR="00227A3C" w:rsidRPr="00227A3C" w:rsidRDefault="00227A3C" w:rsidP="00227A3C">
      <w:pPr>
        <w:spacing w:after="0" w:line="240" w:lineRule="auto"/>
        <w:ind w:firstLine="567"/>
        <w:contextualSpacing/>
        <w:jc w:val="both"/>
        <w:rPr>
          <w:rFonts w:ascii="Times New Roman" w:eastAsia="Calibri" w:hAnsi="Times New Roman" w:cs="Times New Roman"/>
          <w:sz w:val="24"/>
          <w:lang w:val="ro-RO"/>
        </w:rPr>
      </w:pPr>
      <w:proofErr w:type="spellStart"/>
      <w:r w:rsidRPr="00227A3C">
        <w:rPr>
          <w:rFonts w:ascii="Times New Roman" w:eastAsia="Calibri" w:hAnsi="Times New Roman" w:cs="Times New Roman"/>
          <w:b/>
          <w:i/>
          <w:sz w:val="24"/>
          <w:lang w:val="ro-RO"/>
        </w:rPr>
        <w:t>-Comercializarea</w:t>
      </w:r>
      <w:proofErr w:type="spellEnd"/>
      <w:r w:rsidRPr="00227A3C">
        <w:rPr>
          <w:rFonts w:ascii="Times New Roman" w:eastAsia="Calibri" w:hAnsi="Times New Roman" w:cs="Times New Roman"/>
          <w:b/>
          <w:i/>
          <w:sz w:val="24"/>
          <w:lang w:val="ro-RO"/>
        </w:rPr>
        <w:t xml:space="preserve"> mărfurilor si serviciilor de către instituțiile bugetare </w:t>
      </w:r>
      <w:r w:rsidRPr="00227A3C">
        <w:rPr>
          <w:rFonts w:ascii="Times New Roman" w:eastAsia="Calibri" w:hAnsi="Times New Roman" w:cs="Times New Roman"/>
          <w:sz w:val="24"/>
          <w:lang w:val="ro-RO"/>
        </w:rPr>
        <w:t>(încasări de la prestarea serviciilor cu plata –planul precizat constituie 539.2 mii lei, încasat 302.7 mii lei, -56.1%, plata pentru locațiunea bunurilor patrimoniului public –planul precizat constituie 521.8 mii lei, încasat 316.1 mii lei, - procentul executării fiind de - 60.6 la suta.)</w:t>
      </w:r>
    </w:p>
    <w:p w:rsidR="00227A3C" w:rsidRPr="00227A3C" w:rsidRDefault="00227A3C" w:rsidP="00227A3C">
      <w:pPr>
        <w:spacing w:after="0" w:line="240" w:lineRule="auto"/>
        <w:ind w:firstLine="567"/>
        <w:contextualSpacing/>
        <w:rPr>
          <w:rFonts w:ascii="Times New Roman" w:eastAsia="Calibri" w:hAnsi="Times New Roman" w:cs="Times New Roman"/>
          <w:sz w:val="24"/>
          <w:lang w:val="ro-RO"/>
        </w:rPr>
      </w:pPr>
    </w:p>
    <w:p w:rsidR="00227A3C" w:rsidRPr="00227A3C" w:rsidRDefault="00227A3C" w:rsidP="00227A3C">
      <w:pPr>
        <w:spacing w:after="0" w:line="240" w:lineRule="auto"/>
        <w:ind w:firstLine="567"/>
        <w:contextualSpacing/>
        <w:rPr>
          <w:rFonts w:ascii="Times New Roman" w:eastAsia="Calibri" w:hAnsi="Times New Roman" w:cs="Times New Roman"/>
          <w:sz w:val="24"/>
          <w:lang w:val="ro-RO"/>
        </w:rPr>
      </w:pPr>
      <w:r w:rsidRPr="00227A3C">
        <w:rPr>
          <w:rFonts w:ascii="Times New Roman" w:eastAsia="Calibri" w:hAnsi="Times New Roman" w:cs="Times New Roman"/>
          <w:b/>
          <w:i/>
          <w:sz w:val="24"/>
          <w:lang w:val="ro-RO"/>
        </w:rPr>
        <w:t xml:space="preserve">- Donații voluntare pentru cheltuieli curente din surse interne  - </w:t>
      </w:r>
      <w:r w:rsidRPr="00227A3C">
        <w:rPr>
          <w:rFonts w:ascii="Times New Roman" w:eastAsia="Calibri" w:hAnsi="Times New Roman" w:cs="Times New Roman"/>
          <w:sz w:val="24"/>
          <w:lang w:val="ro-RO"/>
        </w:rPr>
        <w:t>planul precizat-116.5 mii lei , încasat 62.2  mii lei procentul executării fiind de -53.4 la suta.</w:t>
      </w:r>
    </w:p>
    <w:p w:rsidR="00227A3C" w:rsidRPr="00227A3C" w:rsidRDefault="00227A3C" w:rsidP="00227A3C">
      <w:pPr>
        <w:spacing w:after="0" w:line="240" w:lineRule="auto"/>
        <w:ind w:firstLine="567"/>
        <w:contextualSpacing/>
        <w:rPr>
          <w:rFonts w:ascii="Times New Roman" w:eastAsia="Calibri" w:hAnsi="Times New Roman" w:cs="Times New Roman"/>
          <w:sz w:val="24"/>
          <w:lang w:val="ro-RO"/>
        </w:rPr>
      </w:pPr>
      <w:r w:rsidRPr="00227A3C">
        <w:rPr>
          <w:rFonts w:ascii="Times New Roman" w:eastAsia="Calibri" w:hAnsi="Times New Roman" w:cs="Times New Roman"/>
          <w:b/>
          <w:i/>
          <w:sz w:val="24"/>
          <w:lang w:val="ro-RO"/>
        </w:rPr>
        <w:t xml:space="preserve">- Donații voluntare pentru cheltuieli capitale din surse externe - </w:t>
      </w:r>
      <w:r w:rsidRPr="00227A3C">
        <w:rPr>
          <w:rFonts w:ascii="Times New Roman" w:eastAsia="Calibri" w:hAnsi="Times New Roman" w:cs="Times New Roman"/>
          <w:sz w:val="24"/>
          <w:lang w:val="ro-RO"/>
        </w:rPr>
        <w:t>planul precizat constituie 540.0 mii lei la finele perioadei încasări nu sunt.</w:t>
      </w:r>
    </w:p>
    <w:p w:rsidR="00227A3C" w:rsidRPr="00227A3C" w:rsidRDefault="00227A3C" w:rsidP="00227A3C">
      <w:pPr>
        <w:spacing w:after="0" w:line="240" w:lineRule="auto"/>
        <w:ind w:firstLine="567"/>
        <w:contextualSpacing/>
        <w:rPr>
          <w:rFonts w:ascii="Times New Roman" w:eastAsia="Calibri" w:hAnsi="Times New Roman" w:cs="Times New Roman"/>
          <w:sz w:val="12"/>
          <w:szCs w:val="10"/>
          <w:lang w:val="ro-RO"/>
        </w:rPr>
      </w:pPr>
    </w:p>
    <w:p w:rsidR="00227A3C" w:rsidRPr="00227A3C" w:rsidRDefault="00227A3C" w:rsidP="00227A3C">
      <w:pPr>
        <w:numPr>
          <w:ilvl w:val="0"/>
          <w:numId w:val="5"/>
        </w:numPr>
        <w:spacing w:after="0" w:line="240" w:lineRule="auto"/>
        <w:ind w:left="0" w:firstLine="567"/>
        <w:contextualSpacing/>
        <w:jc w:val="both"/>
        <w:rPr>
          <w:rFonts w:ascii="Times New Roman" w:eastAsia="Calibri" w:hAnsi="Times New Roman" w:cs="Times New Roman"/>
          <w:b/>
          <w:sz w:val="28"/>
          <w:lang w:val="ro-RO"/>
        </w:rPr>
      </w:pPr>
      <w:r w:rsidRPr="00227A3C">
        <w:rPr>
          <w:rFonts w:ascii="Times New Roman" w:eastAsia="Calibri" w:hAnsi="Times New Roman" w:cs="Times New Roman"/>
          <w:b/>
          <w:i/>
          <w:color w:val="000000"/>
          <w:sz w:val="24"/>
          <w:szCs w:val="24"/>
          <w:lang w:val="ro-RO"/>
        </w:rPr>
        <w:t xml:space="preserve">  Transferurile</w:t>
      </w:r>
      <w:r w:rsidRPr="00227A3C">
        <w:rPr>
          <w:rFonts w:ascii="Times New Roman" w:eastAsia="Calibri" w:hAnsi="Times New Roman" w:cs="Times New Roman"/>
          <w:color w:val="000000"/>
          <w:sz w:val="24"/>
          <w:szCs w:val="24"/>
          <w:lang w:val="ro-RO"/>
        </w:rPr>
        <w:t xml:space="preserve"> primite între bugetul de stat și bugetul local de nivelul II a  fost aprobat in mărime de 197903.2 mii lei planul precizat majorat față de cel aprobat constitui 216951.1 mii lei  fiind majorat cu 19047.9 mii lei,  executarea fiind de 103314.5 mii lei, iar procentul executării constituie 47.6 %. Executarea transferurilor in perioada de gestiune in comparație cu perioada anului 2024 s-a majorat cu 4123.2 mii lei .</w:t>
      </w:r>
    </w:p>
    <w:p w:rsidR="00227A3C" w:rsidRPr="00227A3C" w:rsidRDefault="00227A3C" w:rsidP="00227A3C">
      <w:pPr>
        <w:spacing w:after="0" w:line="240" w:lineRule="auto"/>
        <w:ind w:right="-1151" w:firstLine="567"/>
        <w:jc w:val="both"/>
        <w:rPr>
          <w:rFonts w:ascii="Times New Roman" w:eastAsia="Times New Roman" w:hAnsi="Times New Roman" w:cs="Times New Roman"/>
          <w:sz w:val="24"/>
          <w:szCs w:val="24"/>
          <w:lang w:val="ro-RO" w:eastAsia="ru-RU"/>
        </w:rPr>
      </w:pPr>
    </w:p>
    <w:p w:rsidR="00227A3C" w:rsidRPr="00227A3C" w:rsidRDefault="00227A3C" w:rsidP="00227A3C">
      <w:pPr>
        <w:numPr>
          <w:ilvl w:val="0"/>
          <w:numId w:val="4"/>
        </w:numPr>
        <w:tabs>
          <w:tab w:val="left" w:pos="567"/>
        </w:tabs>
        <w:spacing w:after="0" w:line="240" w:lineRule="auto"/>
        <w:ind w:left="0" w:right="-1151" w:firstLine="284"/>
        <w:rPr>
          <w:rFonts w:ascii="Times New Roman" w:eastAsia="Times New Roman" w:hAnsi="Times New Roman" w:cs="Times New Roman"/>
          <w:b/>
          <w:i/>
          <w:sz w:val="28"/>
          <w:szCs w:val="24"/>
          <w:lang w:val="ro-RO" w:eastAsia="ru-RU"/>
        </w:rPr>
      </w:pPr>
      <w:r w:rsidRPr="00227A3C">
        <w:rPr>
          <w:rFonts w:ascii="Times New Roman" w:eastAsia="Times New Roman" w:hAnsi="Times New Roman" w:cs="Times New Roman"/>
          <w:b/>
          <w:i/>
          <w:sz w:val="28"/>
          <w:szCs w:val="24"/>
          <w:lang w:val="ro-RO" w:eastAsia="ru-RU"/>
        </w:rPr>
        <w:t>Executarea cheltuielilor bugetului raional</w:t>
      </w:r>
    </w:p>
    <w:p w:rsidR="00227A3C" w:rsidRPr="00227A3C" w:rsidRDefault="00227A3C" w:rsidP="00227A3C">
      <w:pPr>
        <w:spacing w:after="0" w:line="240" w:lineRule="auto"/>
        <w:ind w:right="50"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bCs/>
          <w:iCs/>
          <w:sz w:val="24"/>
          <w:szCs w:val="24"/>
          <w:lang w:val="ro-RO" w:eastAsia="ru-RU"/>
        </w:rPr>
        <w:t xml:space="preserve">Pentru anul 2025 cheltuielile bugetului raional au fost prevăzute inițial in suma de 202971.4 mii lei. Pe parcursul anului, cheltuielile bugetului au fost revizuite reieșind din resursele disponibile și au fost majorate  cu 28077.8 mii lei  </w:t>
      </w:r>
      <w:r w:rsidRPr="00227A3C">
        <w:rPr>
          <w:rFonts w:ascii="Times New Roman" w:eastAsia="Times New Roman" w:hAnsi="Times New Roman" w:cs="Times New Roman"/>
          <w:sz w:val="24"/>
          <w:szCs w:val="24"/>
          <w:lang w:val="ro-RO" w:eastAsia="ru-RU"/>
        </w:rPr>
        <w:t>Partea de cheltuieli la situația din 30.06.2025 a fost realizata în   sumă   de 105588,0 mii lei, conform prevederilor precizate în sumă de 231049.2 mii lei, nivelul executării constituie 45.7 %. Cele mai considerabile majorări au fost înregistrate pentru ramura învățământ cu o majorare de 15946.6 mii lei , la infrastructura drumurilor cu o majorare de 2877.8 mii lei și pentru școala sportiva in sumă de 223.5 mii lei majorările date au fost alocate din transferurile bugetului de stat.</w:t>
      </w:r>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p>
    <w:p w:rsidR="00227A3C" w:rsidRPr="00227A3C" w:rsidRDefault="00227A3C" w:rsidP="00227A3C">
      <w:pPr>
        <w:tabs>
          <w:tab w:val="left" w:pos="567"/>
        </w:tabs>
        <w:spacing w:after="0" w:line="240" w:lineRule="auto"/>
        <w:ind w:right="-1151"/>
        <w:jc w:val="both"/>
        <w:rPr>
          <w:rFonts w:ascii="Times New Roman" w:eastAsia="Times New Roman" w:hAnsi="Times New Roman" w:cs="Times New Roman"/>
          <w:i/>
          <w:iCs/>
          <w:sz w:val="28"/>
          <w:szCs w:val="28"/>
          <w:lang w:val="ro-RO" w:eastAsia="ru-RU"/>
        </w:rPr>
      </w:pPr>
      <w:r w:rsidRPr="00227A3C">
        <w:rPr>
          <w:rFonts w:ascii="Times New Roman" w:eastAsia="Times New Roman" w:hAnsi="Times New Roman" w:cs="Times New Roman"/>
          <w:i/>
          <w:iCs/>
          <w:sz w:val="28"/>
          <w:szCs w:val="28"/>
          <w:lang w:val="ro-RO" w:eastAsia="ru-RU"/>
        </w:rPr>
        <w:t xml:space="preserve">       Cheltuielile bugetului in perioada I semestru al anului curent in aspect funcțional</w:t>
      </w:r>
    </w:p>
    <w:p w:rsidR="00227A3C" w:rsidRPr="00227A3C" w:rsidRDefault="00227A3C" w:rsidP="00227A3C">
      <w:pPr>
        <w:spacing w:after="0" w:line="240" w:lineRule="auto"/>
        <w:ind w:right="-1151"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În bugetul raional se regăsesc opt funcții care s-au realizat in modul următor:</w:t>
      </w:r>
    </w:p>
    <w:p w:rsidR="00227A3C" w:rsidRPr="00227A3C" w:rsidRDefault="00227A3C" w:rsidP="00227A3C">
      <w:pPr>
        <w:spacing w:after="0" w:line="240" w:lineRule="auto"/>
        <w:ind w:right="50"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w:t>
      </w:r>
      <w:r w:rsidRPr="00227A3C">
        <w:rPr>
          <w:rFonts w:ascii="Times New Roman" w:eastAsia="Times New Roman" w:hAnsi="Times New Roman" w:cs="Times New Roman"/>
          <w:b/>
          <w:bCs/>
          <w:sz w:val="24"/>
          <w:szCs w:val="24"/>
          <w:lang w:val="ro-RO" w:eastAsia="ru-RU"/>
        </w:rPr>
        <w:t xml:space="preserve">învățământul </w:t>
      </w:r>
      <w:r w:rsidRPr="00227A3C">
        <w:rPr>
          <w:rFonts w:ascii="Times New Roman" w:eastAsia="Times New Roman" w:hAnsi="Times New Roman" w:cs="Times New Roman"/>
          <w:i/>
          <w:iCs/>
          <w:sz w:val="24"/>
          <w:szCs w:val="24"/>
          <w:lang w:val="ro-RO" w:eastAsia="ru-RU"/>
        </w:rPr>
        <w:t xml:space="preserve">- </w:t>
      </w:r>
      <w:r w:rsidRPr="00227A3C">
        <w:rPr>
          <w:rFonts w:ascii="Times New Roman" w:eastAsia="Times New Roman" w:hAnsi="Times New Roman" w:cs="Times New Roman"/>
          <w:sz w:val="24"/>
          <w:szCs w:val="24"/>
          <w:lang w:val="ro-RO" w:eastAsia="ru-RU"/>
        </w:rPr>
        <w:t xml:space="preserve">planul anual precizat în suma de 179037.9 mii lei executat în mărime de 90147,3 mii lei, </w:t>
      </w:r>
      <w:bookmarkStart w:id="2" w:name="_Hlk203662463"/>
      <w:r w:rsidRPr="00227A3C">
        <w:rPr>
          <w:rFonts w:ascii="Times New Roman" w:eastAsia="Times New Roman" w:hAnsi="Times New Roman" w:cs="Times New Roman"/>
          <w:sz w:val="24"/>
          <w:szCs w:val="24"/>
          <w:lang w:val="ro-RO" w:eastAsia="ru-RU"/>
        </w:rPr>
        <w:t xml:space="preserve">procentul executării constituie 50.4 la sută. </w:t>
      </w:r>
      <w:bookmarkEnd w:id="2"/>
      <w:r w:rsidRPr="00227A3C">
        <w:rPr>
          <w:rFonts w:ascii="Times New Roman" w:eastAsia="Times New Roman" w:hAnsi="Times New Roman" w:cs="Times New Roman"/>
          <w:sz w:val="24"/>
          <w:szCs w:val="24"/>
          <w:lang w:val="ro-RO" w:eastAsia="ru-RU"/>
        </w:rPr>
        <w:t>Ramura data are cea mai mare pondere a planului precizat din total buget raional și constituie 77.5 mii lei.</w:t>
      </w:r>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i/>
          <w:iCs/>
          <w:sz w:val="24"/>
          <w:szCs w:val="24"/>
          <w:lang w:val="ro-RO" w:eastAsia="ru-RU"/>
        </w:rPr>
        <w:lastRenderedPageBreak/>
        <w:t xml:space="preserve">- </w:t>
      </w:r>
      <w:r w:rsidRPr="00227A3C">
        <w:rPr>
          <w:rFonts w:ascii="Times New Roman" w:eastAsia="Times New Roman" w:hAnsi="Times New Roman" w:cs="Times New Roman"/>
          <w:b/>
          <w:bCs/>
          <w:sz w:val="24"/>
          <w:szCs w:val="24"/>
          <w:lang w:val="ro-RO" w:eastAsia="ru-RU"/>
        </w:rPr>
        <w:t>în domeniul economiei</w:t>
      </w:r>
      <w:r w:rsidRPr="00227A3C">
        <w:rPr>
          <w:rFonts w:ascii="Times New Roman" w:eastAsia="Times New Roman" w:hAnsi="Times New Roman" w:cs="Times New Roman"/>
          <w:i/>
          <w:iCs/>
          <w:sz w:val="24"/>
          <w:szCs w:val="24"/>
          <w:lang w:val="ro-RO" w:eastAsia="ru-RU"/>
        </w:rPr>
        <w:t xml:space="preserve"> - </w:t>
      </w:r>
      <w:r w:rsidRPr="00227A3C">
        <w:rPr>
          <w:rFonts w:ascii="Times New Roman" w:eastAsia="Times New Roman" w:hAnsi="Times New Roman" w:cs="Times New Roman"/>
          <w:sz w:val="24"/>
          <w:szCs w:val="24"/>
          <w:lang w:val="ro-RO" w:eastAsia="ru-RU"/>
        </w:rPr>
        <w:t xml:space="preserve">planul anual  precizat în sumă de 22759.2 mii lei, executat 1385.8 mii lei. procentul executării constituie 6.1 la suta. </w:t>
      </w:r>
      <w:bookmarkStart w:id="3" w:name="_Hlk204096281"/>
      <w:r w:rsidRPr="00227A3C">
        <w:rPr>
          <w:rFonts w:ascii="Times New Roman" w:eastAsia="Times New Roman" w:hAnsi="Times New Roman" w:cs="Times New Roman"/>
          <w:sz w:val="24"/>
          <w:szCs w:val="24"/>
          <w:lang w:val="ro-RO" w:eastAsia="ru-RU"/>
        </w:rPr>
        <w:t>Ramura dată are o pondere de 9.9 la suta</w:t>
      </w:r>
      <w:bookmarkEnd w:id="3"/>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w:t>
      </w:r>
      <w:r w:rsidRPr="00227A3C">
        <w:rPr>
          <w:rFonts w:ascii="Times New Roman" w:eastAsia="Times New Roman" w:hAnsi="Times New Roman" w:cs="Times New Roman"/>
          <w:b/>
          <w:bCs/>
          <w:sz w:val="24"/>
          <w:szCs w:val="24"/>
          <w:lang w:val="ro-RO" w:eastAsia="ru-RU"/>
        </w:rPr>
        <w:t xml:space="preserve">direcția cultura tineret si sport - </w:t>
      </w:r>
      <w:r w:rsidRPr="00227A3C">
        <w:rPr>
          <w:rFonts w:ascii="Times New Roman" w:eastAsia="Times New Roman" w:hAnsi="Times New Roman" w:cs="Times New Roman"/>
          <w:sz w:val="24"/>
          <w:szCs w:val="24"/>
          <w:lang w:val="ro-RO" w:eastAsia="ru-RU"/>
        </w:rPr>
        <w:t>planul precizat</w:t>
      </w:r>
      <w:r w:rsidRPr="00227A3C">
        <w:rPr>
          <w:rFonts w:ascii="Times New Roman" w:eastAsia="Times New Roman" w:hAnsi="Times New Roman" w:cs="Times New Roman"/>
          <w:b/>
          <w:bCs/>
          <w:sz w:val="24"/>
          <w:szCs w:val="24"/>
          <w:lang w:val="ro-RO" w:eastAsia="ru-RU"/>
        </w:rPr>
        <w:t xml:space="preserve"> </w:t>
      </w:r>
      <w:r w:rsidRPr="00227A3C">
        <w:rPr>
          <w:rFonts w:ascii="Times New Roman" w:eastAsia="Times New Roman" w:hAnsi="Times New Roman" w:cs="Times New Roman"/>
          <w:sz w:val="24"/>
          <w:szCs w:val="24"/>
          <w:lang w:val="ro-RO" w:eastAsia="ru-RU"/>
        </w:rPr>
        <w:t>constituie 9629.2 mii lei, executat 4529.7 mii lei cu o executare de 47.0 % Ramura dată are o pondere de 4.2 la suta</w:t>
      </w:r>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w:t>
      </w:r>
      <w:r w:rsidRPr="00227A3C">
        <w:rPr>
          <w:rFonts w:ascii="Times New Roman" w:eastAsia="Times New Roman" w:hAnsi="Times New Roman" w:cs="Times New Roman"/>
          <w:b/>
          <w:bCs/>
          <w:sz w:val="24"/>
          <w:szCs w:val="24"/>
          <w:lang w:val="ro-RO" w:eastAsia="ru-RU"/>
        </w:rPr>
        <w:t xml:space="preserve">servicii de stat cu destinație generala - </w:t>
      </w:r>
      <w:r w:rsidRPr="00227A3C">
        <w:rPr>
          <w:rFonts w:ascii="Times New Roman" w:eastAsia="Times New Roman" w:hAnsi="Times New Roman" w:cs="Times New Roman"/>
          <w:sz w:val="24"/>
          <w:szCs w:val="24"/>
          <w:lang w:val="ro-RO" w:eastAsia="ru-RU"/>
        </w:rPr>
        <w:t>planul precizat constituie 9165.3 mii lei, executat 3464.1 mii lei, executarea constituie 37.8%.</w:t>
      </w:r>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w:t>
      </w:r>
      <w:r w:rsidRPr="00227A3C">
        <w:rPr>
          <w:rFonts w:ascii="Times New Roman" w:eastAsia="Times New Roman" w:hAnsi="Times New Roman" w:cs="Times New Roman"/>
          <w:b/>
          <w:bCs/>
          <w:sz w:val="24"/>
          <w:szCs w:val="24"/>
          <w:lang w:val="ro-RO" w:eastAsia="ru-RU"/>
        </w:rPr>
        <w:t xml:space="preserve">ocrotirea sănătății - </w:t>
      </w:r>
      <w:r w:rsidRPr="00227A3C">
        <w:rPr>
          <w:rFonts w:ascii="Times New Roman" w:eastAsia="Times New Roman" w:hAnsi="Times New Roman" w:cs="Times New Roman"/>
          <w:sz w:val="24"/>
          <w:szCs w:val="24"/>
          <w:lang w:val="ro-RO" w:eastAsia="ru-RU"/>
        </w:rPr>
        <w:t xml:space="preserve">planul precizat constituie 7254.6 mii lei, executat 4410.9 mii lei, procentul executării constituie 60.8%. </w:t>
      </w:r>
      <w:bookmarkStart w:id="4" w:name="_Hlk204177524"/>
      <w:r w:rsidRPr="00227A3C">
        <w:rPr>
          <w:rFonts w:ascii="Times New Roman" w:eastAsia="Times New Roman" w:hAnsi="Times New Roman" w:cs="Times New Roman"/>
          <w:sz w:val="24"/>
          <w:szCs w:val="24"/>
          <w:lang w:val="ro-RO" w:eastAsia="ru-RU"/>
        </w:rPr>
        <w:t>Cota parte din totalul  bugetului raional este de 3.1</w:t>
      </w:r>
      <w:bookmarkEnd w:id="4"/>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w:t>
      </w:r>
      <w:r w:rsidRPr="00227A3C">
        <w:rPr>
          <w:rFonts w:ascii="Times New Roman" w:eastAsia="Times New Roman" w:hAnsi="Times New Roman" w:cs="Times New Roman"/>
          <w:b/>
          <w:bCs/>
          <w:sz w:val="24"/>
          <w:szCs w:val="24"/>
          <w:lang w:val="ro-RO" w:eastAsia="ru-RU"/>
        </w:rPr>
        <w:t xml:space="preserve">servicii de stat cu destinație generala - </w:t>
      </w:r>
      <w:r w:rsidRPr="00227A3C">
        <w:rPr>
          <w:rFonts w:ascii="Times New Roman" w:eastAsia="Times New Roman" w:hAnsi="Times New Roman" w:cs="Times New Roman"/>
          <w:sz w:val="24"/>
          <w:szCs w:val="24"/>
          <w:lang w:val="ro-RO" w:eastAsia="ru-RU"/>
        </w:rPr>
        <w:t xml:space="preserve">planul precizat  constituie 9165.3 mii lei ,executat 3464.1 mii lei, procentul executării fiind de 37.8%.  </w:t>
      </w:r>
      <w:bookmarkStart w:id="5" w:name="_Hlk204177854"/>
      <w:r w:rsidRPr="00227A3C">
        <w:rPr>
          <w:rFonts w:ascii="Times New Roman" w:eastAsia="Times New Roman" w:hAnsi="Times New Roman" w:cs="Times New Roman"/>
          <w:sz w:val="24"/>
          <w:szCs w:val="24"/>
          <w:lang w:val="ro-RO" w:eastAsia="ru-RU"/>
        </w:rPr>
        <w:t xml:space="preserve">Cota parte din totalul bugetului raional este </w:t>
      </w:r>
      <w:bookmarkEnd w:id="5"/>
      <w:r w:rsidRPr="00227A3C">
        <w:rPr>
          <w:rFonts w:ascii="Times New Roman" w:eastAsia="Times New Roman" w:hAnsi="Times New Roman" w:cs="Times New Roman"/>
          <w:sz w:val="24"/>
          <w:szCs w:val="24"/>
          <w:lang w:val="ro-RO" w:eastAsia="ru-RU"/>
        </w:rPr>
        <w:t>de 3.1 %.</w:t>
      </w:r>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b/>
          <w:bCs/>
          <w:sz w:val="24"/>
          <w:szCs w:val="24"/>
          <w:lang w:val="ro-RO" w:eastAsia="ru-RU"/>
        </w:rPr>
        <w:t xml:space="preserve">- ordinea publica si securitatea naționala </w:t>
      </w:r>
      <w:r w:rsidRPr="00227A3C">
        <w:rPr>
          <w:rFonts w:ascii="Times New Roman" w:eastAsia="Times New Roman" w:hAnsi="Times New Roman" w:cs="Times New Roman"/>
          <w:sz w:val="24"/>
          <w:szCs w:val="24"/>
          <w:lang w:val="ro-RO" w:eastAsia="ru-RU"/>
        </w:rPr>
        <w:t>- planul precizat constituie 2473.6 mii lei, executat 1117.5 mii lei ce constituie 45.2 %.  Ramura dată are o pondere de 1.1 %.</w:t>
      </w:r>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w:t>
      </w:r>
      <w:r w:rsidRPr="00227A3C">
        <w:rPr>
          <w:rFonts w:ascii="Times New Roman" w:eastAsia="Times New Roman" w:hAnsi="Times New Roman" w:cs="Times New Roman"/>
          <w:b/>
          <w:bCs/>
          <w:sz w:val="24"/>
          <w:szCs w:val="24"/>
          <w:lang w:val="ro-RO" w:eastAsia="ru-RU"/>
        </w:rPr>
        <w:t>protecția sociala -</w:t>
      </w:r>
      <w:r w:rsidRPr="00227A3C">
        <w:rPr>
          <w:rFonts w:ascii="Times New Roman" w:eastAsia="Times New Roman" w:hAnsi="Times New Roman" w:cs="Times New Roman"/>
          <w:sz w:val="24"/>
          <w:szCs w:val="24"/>
          <w:lang w:val="ro-RO" w:eastAsia="ru-RU"/>
        </w:rPr>
        <w:t xml:space="preserve"> planul precizat constituie 644.9 mii lei, executat 469.5 mii lei, executarea constituie 72.8%.  Cota parte din totalul bugetului raional este de 0.3 %.</w:t>
      </w:r>
    </w:p>
    <w:p w:rsidR="00227A3C" w:rsidRPr="00227A3C" w:rsidRDefault="00227A3C" w:rsidP="00227A3C">
      <w:pPr>
        <w:spacing w:after="0" w:line="240" w:lineRule="auto"/>
        <w:ind w:right="49" w:firstLine="567"/>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w:t>
      </w:r>
      <w:r w:rsidRPr="00227A3C">
        <w:rPr>
          <w:rFonts w:ascii="Times New Roman" w:eastAsia="Times New Roman" w:hAnsi="Times New Roman" w:cs="Times New Roman"/>
          <w:b/>
          <w:bCs/>
          <w:sz w:val="24"/>
          <w:szCs w:val="24"/>
          <w:lang w:val="ro-RO" w:eastAsia="ru-RU"/>
        </w:rPr>
        <w:t>apărarea național -</w:t>
      </w:r>
      <w:r w:rsidRPr="00227A3C">
        <w:rPr>
          <w:rFonts w:ascii="Times New Roman" w:eastAsia="Times New Roman" w:hAnsi="Times New Roman" w:cs="Times New Roman"/>
          <w:sz w:val="24"/>
          <w:szCs w:val="24"/>
          <w:lang w:val="ro-RO" w:eastAsia="ru-RU"/>
        </w:rPr>
        <w:t xml:space="preserve"> planul precizat constituie 84.5mii lei, executat 63.1 mii lei, executarea constituie 74.7 % din planul precizat.</w:t>
      </w:r>
    </w:p>
    <w:p w:rsidR="00227A3C" w:rsidRPr="00227A3C" w:rsidRDefault="00227A3C" w:rsidP="00227A3C">
      <w:pPr>
        <w:spacing w:after="0" w:line="240" w:lineRule="auto"/>
        <w:ind w:right="49"/>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noProof/>
          <w:sz w:val="24"/>
          <w:szCs w:val="24"/>
          <w:lang w:val="ro-RO" w:eastAsia="ru-RU"/>
        </w:rPr>
        <w:pict>
          <v:shapetype id="_x0000_t202" coordsize="21600,21600" o:spt="202" path="m,l,21600r21600,l21600,xe">
            <v:stroke joinstyle="miter"/>
            <v:path gradientshapeok="t" o:connecttype="rect"/>
          </v:shapetype>
          <v:shape id="Casetă text 1" o:spid="_x0000_s1027" type="#_x0000_t202" style="position:absolute;left:0;text-align:left;margin-left:316.3pt;margin-top:78.9pt;width:41.35pt;height:19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" fillcolor="white [3201]" stroked="f" strokeweight=".5pt">
            <v:textbox>
              <w:txbxContent>
                <w:p w:rsidR="00227A3C" w:rsidRDefault="00227A3C" w:rsidP="00227A3C">
                  <w:pPr>
                    <w:rPr>
                      <w:sz w:val="18"/>
                      <w:szCs w:val="16"/>
                      <w:lang w:val="ro-RO"/>
                    </w:rPr>
                  </w:pPr>
                  <w:r w:rsidRPr="006322C8">
                    <w:rPr>
                      <w:sz w:val="18"/>
                      <w:szCs w:val="16"/>
                      <w:lang w:val="ro-RO"/>
                    </w:rPr>
                    <w:t>3,</w:t>
                  </w:r>
                  <w:proofErr w:type="spellStart"/>
                  <w:r w:rsidRPr="006322C8">
                    <w:rPr>
                      <w:sz w:val="18"/>
                      <w:szCs w:val="16"/>
                      <w:lang w:val="ro-RO"/>
                    </w:rPr>
                    <w:t>3</w:t>
                  </w:r>
                  <w:proofErr w:type="spellEnd"/>
                  <w:r w:rsidRPr="006322C8">
                    <w:rPr>
                      <w:sz w:val="18"/>
                      <w:szCs w:val="16"/>
                      <w:lang w:val="ro-RO"/>
                    </w:rPr>
                    <w:t xml:space="preserve"> %</w:t>
                  </w:r>
                </w:p>
                <w:p w:rsidR="00227A3C" w:rsidRDefault="00227A3C" w:rsidP="00227A3C">
                  <w:pPr>
                    <w:rPr>
                      <w:sz w:val="18"/>
                      <w:szCs w:val="16"/>
                      <w:lang w:val="ro-RO"/>
                    </w:rPr>
                  </w:pPr>
                </w:p>
                <w:p w:rsidR="00227A3C" w:rsidRDefault="00227A3C" w:rsidP="00227A3C">
                  <w:pPr>
                    <w:rPr>
                      <w:sz w:val="18"/>
                      <w:szCs w:val="16"/>
                      <w:lang w:val="ro-RO"/>
                    </w:rPr>
                  </w:pPr>
                  <w:r>
                    <w:rPr>
                      <w:sz w:val="18"/>
                      <w:szCs w:val="16"/>
                      <w:lang w:val="ro-RO"/>
                    </w:rPr>
                    <w:t>0,1 %</w:t>
                  </w:r>
                </w:p>
                <w:p w:rsidR="00227A3C" w:rsidRDefault="00227A3C" w:rsidP="00227A3C">
                  <w:pPr>
                    <w:rPr>
                      <w:sz w:val="18"/>
                      <w:szCs w:val="16"/>
                      <w:lang w:val="ro-RO"/>
                    </w:rPr>
                  </w:pPr>
                </w:p>
                <w:p w:rsidR="00227A3C" w:rsidRPr="006322C8" w:rsidRDefault="00227A3C" w:rsidP="00227A3C">
                  <w:pPr>
                    <w:rPr>
                      <w:sz w:val="10"/>
                      <w:szCs w:val="8"/>
                      <w:lang w:val="ro-RO"/>
                    </w:rPr>
                  </w:pPr>
                </w:p>
                <w:p w:rsidR="00227A3C" w:rsidRDefault="00227A3C" w:rsidP="00227A3C">
                  <w:pPr>
                    <w:rPr>
                      <w:sz w:val="18"/>
                      <w:szCs w:val="16"/>
                      <w:lang w:val="ro-RO"/>
                    </w:rPr>
                  </w:pPr>
                  <w:r>
                    <w:rPr>
                      <w:sz w:val="18"/>
                      <w:szCs w:val="16"/>
                      <w:lang w:val="ro-RO"/>
                    </w:rPr>
                    <w:t>1,</w:t>
                  </w:r>
                  <w:proofErr w:type="spellStart"/>
                  <w:r>
                    <w:rPr>
                      <w:sz w:val="18"/>
                      <w:szCs w:val="16"/>
                      <w:lang w:val="ro-RO"/>
                    </w:rPr>
                    <w:t>1</w:t>
                  </w:r>
                  <w:proofErr w:type="spellEnd"/>
                  <w:r>
                    <w:rPr>
                      <w:sz w:val="18"/>
                      <w:szCs w:val="16"/>
                      <w:lang w:val="ro-RO"/>
                    </w:rPr>
                    <w:t xml:space="preserve"> %</w:t>
                  </w:r>
                </w:p>
                <w:p w:rsidR="00227A3C" w:rsidRPr="006322C8" w:rsidRDefault="00227A3C" w:rsidP="00227A3C">
                  <w:pPr>
                    <w:rPr>
                      <w:szCs w:val="20"/>
                      <w:lang w:val="ro-RO"/>
                    </w:rPr>
                  </w:pPr>
                </w:p>
                <w:p w:rsidR="00227A3C" w:rsidRDefault="00227A3C" w:rsidP="00227A3C">
                  <w:pPr>
                    <w:rPr>
                      <w:sz w:val="18"/>
                      <w:szCs w:val="16"/>
                      <w:lang w:val="ro-RO"/>
                    </w:rPr>
                  </w:pPr>
                  <w:r>
                    <w:rPr>
                      <w:sz w:val="18"/>
                      <w:szCs w:val="16"/>
                      <w:lang w:val="ro-RO"/>
                    </w:rPr>
                    <w:t>1,3 %</w:t>
                  </w:r>
                </w:p>
                <w:p w:rsidR="00227A3C" w:rsidRPr="006322C8" w:rsidRDefault="00227A3C" w:rsidP="00227A3C">
                  <w:pPr>
                    <w:rPr>
                      <w:lang w:val="ro-RO"/>
                    </w:rPr>
                  </w:pPr>
                </w:p>
                <w:p w:rsidR="00227A3C" w:rsidRDefault="00227A3C" w:rsidP="00227A3C">
                  <w:pPr>
                    <w:rPr>
                      <w:sz w:val="18"/>
                      <w:szCs w:val="16"/>
                      <w:lang w:val="ro-RO"/>
                    </w:rPr>
                  </w:pPr>
                  <w:r>
                    <w:rPr>
                      <w:sz w:val="18"/>
                      <w:szCs w:val="16"/>
                      <w:lang w:val="ro-RO"/>
                    </w:rPr>
                    <w:t>4,2 %</w:t>
                  </w:r>
                </w:p>
                <w:p w:rsidR="00227A3C" w:rsidRDefault="00227A3C" w:rsidP="00227A3C">
                  <w:pPr>
                    <w:rPr>
                      <w:sz w:val="18"/>
                      <w:szCs w:val="16"/>
                      <w:lang w:val="ro-RO"/>
                    </w:rPr>
                  </w:pPr>
                </w:p>
                <w:p w:rsidR="00227A3C" w:rsidRDefault="00227A3C" w:rsidP="00227A3C">
                  <w:pPr>
                    <w:rPr>
                      <w:sz w:val="18"/>
                      <w:szCs w:val="16"/>
                      <w:lang w:val="ro-RO"/>
                    </w:rPr>
                  </w:pPr>
                  <w:r>
                    <w:rPr>
                      <w:sz w:val="18"/>
                      <w:szCs w:val="16"/>
                      <w:lang w:val="ro-RO"/>
                    </w:rPr>
                    <w:t>4,3 %</w:t>
                  </w:r>
                </w:p>
                <w:p w:rsidR="00227A3C" w:rsidRPr="006322C8" w:rsidRDefault="00227A3C" w:rsidP="00227A3C">
                  <w:pPr>
                    <w:rPr>
                      <w:szCs w:val="20"/>
                      <w:lang w:val="ro-RO"/>
                    </w:rPr>
                  </w:pPr>
                </w:p>
                <w:p w:rsidR="00227A3C" w:rsidRDefault="00227A3C" w:rsidP="00227A3C">
                  <w:pPr>
                    <w:rPr>
                      <w:sz w:val="18"/>
                      <w:szCs w:val="16"/>
                      <w:lang w:val="ro-RO"/>
                    </w:rPr>
                  </w:pPr>
                  <w:r>
                    <w:rPr>
                      <w:sz w:val="18"/>
                      <w:szCs w:val="16"/>
                      <w:lang w:val="ro-RO"/>
                    </w:rPr>
                    <w:t>85,4 %</w:t>
                  </w:r>
                </w:p>
                <w:p w:rsidR="00227A3C" w:rsidRPr="006322C8" w:rsidRDefault="00227A3C" w:rsidP="00227A3C">
                  <w:pPr>
                    <w:rPr>
                      <w:lang w:val="ro-RO"/>
                    </w:rPr>
                  </w:pPr>
                </w:p>
                <w:p w:rsidR="00227A3C" w:rsidRDefault="00227A3C" w:rsidP="00227A3C">
                  <w:pPr>
                    <w:rPr>
                      <w:sz w:val="18"/>
                      <w:szCs w:val="16"/>
                      <w:lang w:val="ro-RO"/>
                    </w:rPr>
                  </w:pPr>
                  <w:r>
                    <w:rPr>
                      <w:sz w:val="18"/>
                      <w:szCs w:val="16"/>
                      <w:lang w:val="ro-RO"/>
                    </w:rPr>
                    <w:t>0,4 %</w:t>
                  </w:r>
                </w:p>
                <w:p w:rsidR="00227A3C" w:rsidRDefault="00227A3C" w:rsidP="00227A3C">
                  <w:pPr>
                    <w:rPr>
                      <w:sz w:val="18"/>
                      <w:szCs w:val="16"/>
                      <w:lang w:val="ro-RO"/>
                    </w:rPr>
                  </w:pPr>
                </w:p>
                <w:p w:rsidR="00227A3C" w:rsidRDefault="00227A3C" w:rsidP="00227A3C">
                  <w:pPr>
                    <w:rPr>
                      <w:sz w:val="18"/>
                      <w:szCs w:val="16"/>
                      <w:lang w:val="ro-RO"/>
                    </w:rPr>
                  </w:pPr>
                </w:p>
                <w:p w:rsidR="00227A3C" w:rsidRDefault="00227A3C" w:rsidP="00227A3C">
                  <w:pPr>
                    <w:rPr>
                      <w:sz w:val="18"/>
                      <w:szCs w:val="16"/>
                      <w:lang w:val="ro-RO"/>
                    </w:rPr>
                  </w:pPr>
                </w:p>
                <w:p w:rsidR="00227A3C" w:rsidRPr="006322C8" w:rsidRDefault="00227A3C" w:rsidP="00227A3C">
                  <w:pPr>
                    <w:rPr>
                      <w:sz w:val="18"/>
                      <w:szCs w:val="16"/>
                      <w:lang w:val="ro-RO"/>
                    </w:rPr>
                  </w:pPr>
                </w:p>
              </w:txbxContent>
            </v:textbox>
          </v:shape>
        </w:pict>
      </w:r>
      <w:r w:rsidRPr="00227A3C">
        <w:rPr>
          <w:rFonts w:ascii="Times New Roman" w:eastAsia="Times New Roman" w:hAnsi="Times New Roman" w:cs="Times New Roman"/>
          <w:sz w:val="24"/>
          <w:szCs w:val="24"/>
          <w:lang w:val="ro-RO" w:eastAsia="ru-RU"/>
        </w:rPr>
        <w:t xml:space="preserve">      </w:t>
      </w:r>
      <w:r w:rsidRPr="00227A3C">
        <w:rPr>
          <w:rFonts w:ascii="Courier New" w:eastAsia="Times New Roman" w:hAnsi="Courier New" w:cs="Times New Roman"/>
          <w:noProof/>
          <w:sz w:val="20"/>
          <w:szCs w:val="20"/>
          <w:lang w:val="ro-RO" w:eastAsia="ro-RO"/>
        </w:rPr>
        <w:drawing>
          <wp:inline distT="0" distB="0" distL="0" distR="0" wp14:anchorId="1763E120" wp14:editId="6DC04756">
            <wp:extent cx="6067311" cy="3589020"/>
            <wp:effectExtent l="0" t="0" r="10160" b="11430"/>
            <wp:docPr id="2" name="Diagramă 1">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7A3C" w:rsidRPr="00227A3C" w:rsidRDefault="00227A3C" w:rsidP="00227A3C">
      <w:pPr>
        <w:tabs>
          <w:tab w:val="left" w:pos="567"/>
        </w:tabs>
        <w:spacing w:after="0" w:line="240" w:lineRule="auto"/>
        <w:ind w:right="49"/>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w:t>
      </w:r>
      <w:r w:rsidRPr="00227A3C">
        <w:rPr>
          <w:rFonts w:ascii="Times New Roman" w:eastAsia="Times New Roman" w:hAnsi="Times New Roman" w:cs="Times New Roman"/>
          <w:sz w:val="24"/>
          <w:szCs w:val="24"/>
          <w:lang w:val="ro-RO" w:eastAsia="ru-RU"/>
        </w:rPr>
        <w:tab/>
        <w:t>Executarea bugetului raional în aspect funcțional comparativ cu anul 2024 în valorile nominale cu cheltuielile realizate în perioada de gestiune a anului 2025 au fost înregistrate majorări practic la toate grupele funcționale, cele mai semnificative fiind la ramura învățământ cu o majorare de 10679.3 mii lei, la funcția in domeniul culturii cu o majorare de 535.6 mii lei, la funcția  ocrotirea  sănătății cu o majorare de 4111,5 mii lei. Dar avem si funcții care sau diminuat executarea bugetului pe perioada I semestru, așa ca serviciul de stat cu destinație generala în suma de 300.1 mii lei  ,serviciul in domeniul economiei cu 8072.3 mii lei (lucrările din fondul rutier fiind in derulare).</w:t>
      </w:r>
    </w:p>
    <w:p w:rsidR="00227A3C" w:rsidRPr="00227A3C" w:rsidRDefault="00227A3C" w:rsidP="00227A3C">
      <w:pPr>
        <w:spacing w:after="0" w:line="240" w:lineRule="auto"/>
        <w:ind w:right="49"/>
        <w:jc w:val="both"/>
        <w:rPr>
          <w:rFonts w:ascii="Times New Roman" w:eastAsia="Times New Roman" w:hAnsi="Times New Roman" w:cs="Times New Roman"/>
          <w:sz w:val="24"/>
          <w:szCs w:val="24"/>
          <w:lang w:val="ro-RO" w:eastAsia="ru-RU"/>
        </w:rPr>
      </w:pPr>
    </w:p>
    <w:p w:rsidR="00227A3C" w:rsidRPr="00227A3C" w:rsidRDefault="00227A3C" w:rsidP="00227A3C">
      <w:pPr>
        <w:tabs>
          <w:tab w:val="left" w:pos="567"/>
        </w:tabs>
        <w:spacing w:after="0" w:line="240" w:lineRule="auto"/>
        <w:ind w:right="-1151"/>
        <w:rPr>
          <w:rFonts w:ascii="Times New Roman" w:eastAsia="Times New Roman" w:hAnsi="Times New Roman" w:cs="Times New Roman"/>
          <w:i/>
          <w:iCs/>
          <w:sz w:val="24"/>
          <w:szCs w:val="24"/>
          <w:lang w:val="ro-RO" w:eastAsia="ru-RU"/>
        </w:rPr>
      </w:pPr>
      <w:r w:rsidRPr="00227A3C">
        <w:rPr>
          <w:rFonts w:ascii="Times New Roman" w:eastAsia="Times New Roman" w:hAnsi="Times New Roman" w:cs="Times New Roman"/>
          <w:i/>
          <w:iCs/>
          <w:sz w:val="24"/>
          <w:szCs w:val="24"/>
          <w:lang w:val="ro-RO" w:eastAsia="ru-RU"/>
        </w:rPr>
        <w:t xml:space="preserve">       Cheltuielile bugetului in perioada I semestru al anului curent in aspect economic se prezintă </w:t>
      </w:r>
    </w:p>
    <w:p w:rsidR="00227A3C" w:rsidRPr="00227A3C" w:rsidRDefault="00227A3C" w:rsidP="00227A3C">
      <w:pPr>
        <w:tabs>
          <w:tab w:val="left" w:pos="567"/>
        </w:tabs>
        <w:spacing w:after="0" w:line="240" w:lineRule="auto"/>
        <w:ind w:right="-1151"/>
        <w:rPr>
          <w:rFonts w:ascii="Times New Roman" w:eastAsia="Times New Roman" w:hAnsi="Times New Roman" w:cs="Times New Roman"/>
          <w:i/>
          <w:iCs/>
          <w:sz w:val="24"/>
          <w:szCs w:val="24"/>
          <w:lang w:val="ro-RO" w:eastAsia="ru-RU"/>
        </w:rPr>
      </w:pPr>
      <w:r w:rsidRPr="00227A3C">
        <w:rPr>
          <w:rFonts w:ascii="Times New Roman" w:eastAsia="Times New Roman" w:hAnsi="Times New Roman" w:cs="Times New Roman"/>
          <w:i/>
          <w:iCs/>
          <w:sz w:val="24"/>
          <w:szCs w:val="24"/>
          <w:lang w:val="ro-RO" w:eastAsia="ru-RU"/>
        </w:rPr>
        <w:t>în felul următor</w:t>
      </w:r>
    </w:p>
    <w:p w:rsidR="00227A3C" w:rsidRPr="00227A3C" w:rsidRDefault="00227A3C" w:rsidP="00227A3C">
      <w:pPr>
        <w:spacing w:after="0" w:line="240" w:lineRule="auto"/>
        <w:ind w:firstLine="360"/>
        <w:jc w:val="center"/>
        <w:rPr>
          <w:rFonts w:ascii="Times New Roman" w:eastAsia="Times New Roman" w:hAnsi="Times New Roman" w:cs="Times New Roman"/>
          <w:b/>
          <w:sz w:val="24"/>
          <w:szCs w:val="24"/>
          <w:lang w:val="ro-RO" w:eastAsia="ru-RU"/>
        </w:rPr>
      </w:pPr>
    </w:p>
    <w:p w:rsidR="00227A3C" w:rsidRPr="00227A3C" w:rsidRDefault="00227A3C" w:rsidP="00227A3C">
      <w:pPr>
        <w:spacing w:after="0" w:line="240" w:lineRule="auto"/>
        <w:ind w:firstLine="360"/>
        <w:jc w:val="center"/>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b/>
          <w:sz w:val="24"/>
          <w:szCs w:val="24"/>
          <w:lang w:val="ro-RO" w:eastAsia="ru-RU"/>
        </w:rPr>
        <w:t>CHELTUIELI DE PERSONAL</w:t>
      </w:r>
      <w:r w:rsidRPr="00227A3C">
        <w:rPr>
          <w:rFonts w:ascii="Times New Roman" w:eastAsia="Times New Roman" w:hAnsi="Times New Roman" w:cs="Times New Roman"/>
          <w:sz w:val="24"/>
          <w:szCs w:val="24"/>
          <w:lang w:val="ro-RO" w:eastAsia="ru-RU"/>
        </w:rPr>
        <w:t xml:space="preserve"> </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Cheltuielile de personal ale direcțiilor și secțiilor consiliului raional pentru perioada de gestiune anul 2025 planul anual precizat constituie 164483.1 mii lei. De facto pe perioada de executare au fost executate cheltuieli de personal în sumă de 89623.0 mii lei, sau 54,5 % față de </w:t>
      </w:r>
      <w:r w:rsidRPr="00227A3C">
        <w:rPr>
          <w:rFonts w:ascii="Times New Roman" w:eastAsia="Times New Roman" w:hAnsi="Times New Roman" w:cs="Times New Roman"/>
          <w:sz w:val="24"/>
          <w:szCs w:val="24"/>
          <w:lang w:val="ro-RO" w:eastAsia="ru-RU"/>
        </w:rPr>
        <w:lastRenderedPageBreak/>
        <w:t>planul anual precizat, ponderea  executării compartimentului dat din total buget fiind de  84.9 %; Comparativ cu  aceiași perioada a anului 2024 cheltuielile de personal sau majorat cu 8059.6 mii lei , diferența  formata apare datorita majorării valorii de referința.</w:t>
      </w:r>
    </w:p>
    <w:p w:rsidR="00227A3C" w:rsidRDefault="00227A3C" w:rsidP="00227A3C">
      <w:pPr>
        <w:spacing w:after="0" w:line="240" w:lineRule="auto"/>
        <w:ind w:left="360"/>
        <w:jc w:val="center"/>
        <w:rPr>
          <w:rFonts w:ascii="Times New Roman" w:eastAsia="Times New Roman" w:hAnsi="Times New Roman" w:cs="Times New Roman"/>
          <w:b/>
          <w:sz w:val="24"/>
          <w:szCs w:val="24"/>
          <w:lang w:val="ro-RO" w:eastAsia="ru-RU"/>
        </w:rPr>
      </w:pPr>
    </w:p>
    <w:p w:rsidR="00227A3C" w:rsidRPr="00227A3C" w:rsidRDefault="00227A3C" w:rsidP="00227A3C">
      <w:pPr>
        <w:spacing w:after="0" w:line="240" w:lineRule="auto"/>
        <w:ind w:left="360"/>
        <w:jc w:val="center"/>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b/>
          <w:sz w:val="24"/>
          <w:szCs w:val="24"/>
          <w:lang w:val="ro-RO" w:eastAsia="ru-RU"/>
        </w:rPr>
        <w:t>CHELTUIELI PENTRU BUNURI ŞI SERVICII</w:t>
      </w:r>
    </w:p>
    <w:p w:rsidR="00227A3C" w:rsidRPr="00227A3C" w:rsidRDefault="00227A3C" w:rsidP="00227A3C">
      <w:pPr>
        <w:spacing w:after="0" w:line="240" w:lineRule="auto"/>
        <w:ind w:firstLine="284"/>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Cheltuielile pentru bunuri și servicii au fost precizate în sumă de 14181.9 mii lei. Real executat în perioada de gestiune în sumă de 4503.5 mii lei, sau 31.8% față de planul anual precizat, cu o pondere de 4.3 % din totalul cheltuielilor executate;</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În categoria dată de cheltuieli sunt incluse energia electrică, gaze,  apa și canalizarea, alte servicii comunale, servicii informaționale, de telecomunicații, de locațiune, de transport, de reparații curente, de formare profesională, deplasări de serviciu, servicii medicale, și alte servicii.</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p>
    <w:p w:rsidR="00227A3C" w:rsidRPr="00227A3C" w:rsidRDefault="00227A3C" w:rsidP="00227A3C">
      <w:pPr>
        <w:spacing w:after="0" w:line="240" w:lineRule="auto"/>
        <w:ind w:firstLine="360"/>
        <w:jc w:val="both"/>
        <w:rPr>
          <w:rFonts w:ascii="Times New Roman" w:eastAsia="Times New Roman" w:hAnsi="Times New Roman" w:cs="Times New Roman"/>
          <w:b/>
          <w:sz w:val="24"/>
          <w:szCs w:val="24"/>
          <w:lang w:val="ro-RO" w:eastAsia="ru-RU"/>
        </w:rPr>
      </w:pPr>
      <w:r w:rsidRPr="00227A3C">
        <w:rPr>
          <w:rFonts w:ascii="Times New Roman" w:eastAsia="Times New Roman" w:hAnsi="Times New Roman" w:cs="Times New Roman"/>
          <w:b/>
          <w:bCs/>
          <w:sz w:val="24"/>
          <w:szCs w:val="24"/>
          <w:lang w:val="ro-RO" w:eastAsia="ru-RU"/>
        </w:rPr>
        <w:t xml:space="preserve">                                   </w:t>
      </w:r>
      <w:r w:rsidRPr="00227A3C">
        <w:rPr>
          <w:rFonts w:ascii="Times New Roman" w:eastAsia="Times New Roman" w:hAnsi="Times New Roman" w:cs="Times New Roman"/>
          <w:b/>
          <w:sz w:val="24"/>
          <w:szCs w:val="24"/>
          <w:lang w:val="ro-RO" w:eastAsia="ru-RU"/>
        </w:rPr>
        <w:t>DOBÂNZI ȘI ALTE PLĂTI AFERENTE DATORIEI</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Spre deosebire de anii precedenți pentru anul 2025 apare dobânda pentru împrumutul extern cu un plan precizat in mărime de 491.0 mii lei, executat în I semestru în mărime de 5.9 mii lei.</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p>
    <w:p w:rsidR="00227A3C" w:rsidRPr="00227A3C" w:rsidRDefault="00227A3C" w:rsidP="00227A3C">
      <w:pPr>
        <w:spacing w:after="0" w:line="240" w:lineRule="auto"/>
        <w:ind w:left="360"/>
        <w:jc w:val="center"/>
        <w:rPr>
          <w:rFonts w:ascii="Times New Roman" w:eastAsia="Times New Roman" w:hAnsi="Times New Roman" w:cs="Times New Roman"/>
          <w:b/>
          <w:sz w:val="24"/>
          <w:szCs w:val="24"/>
          <w:lang w:val="ro-RO" w:eastAsia="ru-RU"/>
        </w:rPr>
      </w:pPr>
      <w:r w:rsidRPr="00227A3C">
        <w:rPr>
          <w:rFonts w:ascii="Times New Roman" w:eastAsia="Times New Roman" w:hAnsi="Times New Roman" w:cs="Times New Roman"/>
          <w:b/>
          <w:sz w:val="24"/>
          <w:szCs w:val="24"/>
          <w:lang w:val="ro-RO" w:eastAsia="ru-RU"/>
        </w:rPr>
        <w:t>SUBSIDII ACORDATE INSTITUŢIILOR CONFORM COMPETENŢELOR CONSILIULUI RAIONAL</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Pentru subsidii acordate instituțiilor publice au fost prevăzute, prin precizare de buget,  mijloace în sumă de 442.9 mii lei real executat în sumă 51.6  mii lei ce constituie 11.7 % față de planul precizat. </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u w:val="single"/>
          <w:lang w:val="ro-RO" w:eastAsia="ru-RU"/>
        </w:rPr>
      </w:pPr>
      <w:r w:rsidRPr="00227A3C">
        <w:rPr>
          <w:rFonts w:ascii="Times New Roman" w:eastAsia="Times New Roman" w:hAnsi="Times New Roman" w:cs="Times New Roman"/>
          <w:sz w:val="24"/>
          <w:szCs w:val="24"/>
          <w:u w:val="single"/>
          <w:lang w:val="ro-RO" w:eastAsia="ru-RU"/>
        </w:rPr>
        <w:t>Descifrarea cheltuielilor precizate se regăsesc în Tabelul nr. 1.</w:t>
      </w:r>
    </w:p>
    <w:p w:rsidR="00227A3C" w:rsidRPr="00227A3C" w:rsidRDefault="00227A3C" w:rsidP="00227A3C">
      <w:pPr>
        <w:spacing w:after="0" w:line="240" w:lineRule="auto"/>
        <w:ind w:firstLine="360"/>
        <w:jc w:val="both"/>
        <w:rPr>
          <w:rFonts w:ascii="Times New Roman" w:eastAsia="Times New Roman" w:hAnsi="Times New Roman" w:cs="Times New Roman"/>
          <w:sz w:val="16"/>
          <w:szCs w:val="16"/>
          <w:u w:val="single"/>
          <w:lang w:val="ro-RO" w:eastAsia="ru-RU"/>
        </w:rPr>
      </w:pPr>
    </w:p>
    <w:tbl>
      <w:tblPr>
        <w:tblStyle w:val="GrilTabel1"/>
        <w:tblW w:w="0" w:type="auto"/>
        <w:tblLook w:val="04A0" w:firstRow="1" w:lastRow="0" w:firstColumn="1" w:lastColumn="0" w:noHBand="0" w:noVBand="1"/>
      </w:tblPr>
      <w:tblGrid>
        <w:gridCol w:w="556"/>
        <w:gridCol w:w="4003"/>
        <w:gridCol w:w="1790"/>
        <w:gridCol w:w="1498"/>
        <w:gridCol w:w="1724"/>
      </w:tblGrid>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b/>
                <w:bCs/>
                <w:sz w:val="24"/>
                <w:szCs w:val="24"/>
                <w:lang w:val="ro-RO" w:eastAsia="ru-RU"/>
              </w:rPr>
            </w:pPr>
            <w:r w:rsidRPr="00227A3C">
              <w:rPr>
                <w:rFonts w:ascii="Times New Roman" w:eastAsia="Times New Roman" w:hAnsi="Times New Roman" w:cs="Times New Roman"/>
                <w:b/>
                <w:bCs/>
                <w:sz w:val="24"/>
                <w:szCs w:val="24"/>
                <w:lang w:val="ro-RO" w:eastAsia="ru-RU"/>
              </w:rPr>
              <w:t xml:space="preserve">Nr. </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b/>
                <w:bCs/>
                <w:sz w:val="24"/>
                <w:szCs w:val="24"/>
                <w:lang w:val="ro-RO" w:eastAsia="ru-RU"/>
              </w:rPr>
            </w:pPr>
            <w:r w:rsidRPr="00227A3C">
              <w:rPr>
                <w:rFonts w:ascii="Times New Roman" w:eastAsia="Times New Roman" w:hAnsi="Times New Roman" w:cs="Times New Roman"/>
                <w:b/>
                <w:bCs/>
                <w:sz w:val="24"/>
                <w:szCs w:val="24"/>
                <w:lang w:val="ro-RO" w:eastAsia="ru-RU"/>
              </w:rPr>
              <w:t>Denumirea</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b/>
                <w:bCs/>
                <w:sz w:val="24"/>
                <w:szCs w:val="24"/>
                <w:lang w:val="ro-RO" w:eastAsia="ru-RU"/>
              </w:rPr>
            </w:pPr>
            <w:r w:rsidRPr="00227A3C">
              <w:rPr>
                <w:rFonts w:ascii="Times New Roman" w:eastAsia="Times New Roman" w:hAnsi="Times New Roman" w:cs="Times New Roman"/>
                <w:b/>
                <w:bCs/>
                <w:sz w:val="24"/>
                <w:szCs w:val="24"/>
                <w:lang w:val="ro-RO" w:eastAsia="ru-RU"/>
              </w:rPr>
              <w:t>Precizat</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b/>
                <w:bCs/>
                <w:sz w:val="24"/>
                <w:szCs w:val="24"/>
                <w:lang w:val="ro-RO" w:eastAsia="ru-RU"/>
              </w:rPr>
            </w:pPr>
            <w:r w:rsidRPr="00227A3C">
              <w:rPr>
                <w:rFonts w:ascii="Times New Roman" w:eastAsia="Times New Roman" w:hAnsi="Times New Roman" w:cs="Times New Roman"/>
                <w:b/>
                <w:bCs/>
                <w:sz w:val="24"/>
                <w:szCs w:val="24"/>
                <w:lang w:val="ro-RO" w:eastAsia="ru-RU"/>
              </w:rPr>
              <w:t>Executat</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b/>
                <w:bCs/>
                <w:sz w:val="24"/>
                <w:szCs w:val="24"/>
                <w:lang w:val="ro-RO" w:eastAsia="ru-RU"/>
              </w:rPr>
            </w:pPr>
            <w:r w:rsidRPr="00227A3C">
              <w:rPr>
                <w:rFonts w:ascii="Times New Roman" w:eastAsia="Times New Roman" w:hAnsi="Times New Roman" w:cs="Times New Roman"/>
                <w:b/>
                <w:bCs/>
                <w:sz w:val="24"/>
                <w:szCs w:val="24"/>
                <w:lang w:val="ro-RO" w:eastAsia="ru-RU"/>
              </w:rPr>
              <w:t xml:space="preserve">Devieri </w:t>
            </w:r>
          </w:p>
        </w:tc>
      </w:tr>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Stimularea donatorilor</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240,0</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22,6</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-213,4</w:t>
            </w:r>
          </w:p>
        </w:tc>
      </w:tr>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2</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Procurarea amestecurilor lactate</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150,0</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0</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-150,0</w:t>
            </w:r>
          </w:p>
        </w:tc>
      </w:tr>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3</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Indemnizațiile tinerilor specialiști</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15,6</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0</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-15,6</w:t>
            </w:r>
          </w:p>
        </w:tc>
      </w:tr>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4</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Achitarea dobânzii</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491,0</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5,9</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-485,1</w:t>
            </w:r>
          </w:p>
        </w:tc>
      </w:tr>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5</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Lucrări de reparații la Centrul de Sănătate Telenești în cadrul proiectului</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6154,0</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4228,5</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-1295,5</w:t>
            </w:r>
          </w:p>
        </w:tc>
      </w:tr>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6</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Lucrări de supraveghere a lucrărilor</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41,7</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0</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-41,7</w:t>
            </w:r>
          </w:p>
        </w:tc>
      </w:tr>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7</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Lucrări de reparație la centrul de sănătate Mândrești</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12,3</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0</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-12,3</w:t>
            </w:r>
          </w:p>
        </w:tc>
      </w:tr>
      <w:tr w:rsidR="00227A3C" w:rsidRPr="00227A3C" w:rsidTr="00386906">
        <w:tc>
          <w:tcPr>
            <w:tcW w:w="53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8</w:t>
            </w:r>
          </w:p>
        </w:tc>
        <w:tc>
          <w:tcPr>
            <w:tcW w:w="407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Contribuție pentru Centrul de Sănătate Scorțeni</w:t>
            </w:r>
          </w:p>
        </w:tc>
        <w:tc>
          <w:tcPr>
            <w:tcW w:w="1813"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150,0</w:t>
            </w:r>
          </w:p>
        </w:tc>
        <w:tc>
          <w:tcPr>
            <w:tcW w:w="1510"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150,0</w:t>
            </w:r>
          </w:p>
        </w:tc>
        <w:tc>
          <w:tcPr>
            <w:tcW w:w="1748" w:type="dxa"/>
          </w:tcPr>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0</w:t>
            </w:r>
          </w:p>
        </w:tc>
      </w:tr>
    </w:tbl>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p>
    <w:p w:rsidR="00227A3C" w:rsidRPr="00227A3C" w:rsidRDefault="00227A3C" w:rsidP="00227A3C">
      <w:pPr>
        <w:spacing w:after="0" w:line="240" w:lineRule="auto"/>
        <w:jc w:val="center"/>
        <w:rPr>
          <w:rFonts w:ascii="Times New Roman" w:eastAsia="Times New Roman" w:hAnsi="Times New Roman" w:cs="Times New Roman"/>
          <w:b/>
          <w:sz w:val="24"/>
          <w:szCs w:val="24"/>
          <w:lang w:val="ro-RO" w:eastAsia="ru-RU"/>
        </w:rPr>
      </w:pPr>
      <w:r w:rsidRPr="00227A3C">
        <w:rPr>
          <w:rFonts w:ascii="Times New Roman" w:eastAsia="Times New Roman" w:hAnsi="Times New Roman" w:cs="Times New Roman"/>
          <w:b/>
          <w:sz w:val="24"/>
          <w:szCs w:val="24"/>
          <w:lang w:val="ro-RO" w:eastAsia="ru-RU"/>
        </w:rPr>
        <w:t>PRESTAŢII ÎN ASISTENŢA SOCIAL</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Mijloace financiare pentru prestări sociale au fost planificate pe anul 2025 în sumă de 3107.4 mii lei. Conform raportului  operativ, cheltuielile constituie 676.7 mii lei sau 21.8 % din planul anual precizat, cu ponderea de 0.6 %  din totalul cheltuielilor; </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În categoria dată de cheltuieli sunt incluse așa prestații ca:</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indemnizații de asistență sociale precizat - 356.9 mii lei, executat 340.0 mii lei,</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compensații planul precizat - 2212,5 mii lei (compensațiile se alocă la începutul anului școlar pentru fiecare persoană didactica la postul de baza încadrată a câte 4000.0 mii lei) </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ajutoare bănești precizat și executat în suma de 129.5 mii lei</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indemnizații la încetarea acțiunii contractului de munca precizat si executat 17.2 mii lei</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indemnizații pentru incapacitatea temporara de munca planul precizat 391.3 executat 190.1 mii lei.</w:t>
      </w:r>
    </w:p>
    <w:p w:rsidR="00227A3C" w:rsidRPr="00227A3C" w:rsidRDefault="00227A3C" w:rsidP="00227A3C">
      <w:pPr>
        <w:spacing w:after="0" w:line="240" w:lineRule="auto"/>
        <w:ind w:left="360"/>
        <w:jc w:val="center"/>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b/>
          <w:sz w:val="24"/>
          <w:szCs w:val="24"/>
          <w:lang w:val="ro-RO" w:eastAsia="ru-RU"/>
        </w:rPr>
        <w:t>ALTE CHELTUIELI CURENTE</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Mijloacele financiare pentru alte cheltuieli au fost precizate în sumă de 8016,6mii lei, executat 140,3 mii lei, sau 1,8 % din planul anual precizat cu ponderea de 0.1%  din totalul cheltuielilor;</w:t>
      </w:r>
    </w:p>
    <w:p w:rsid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În categoria dată de cheltuieli sunt incluse cheltuielile  curente neatribuite altor categorii.</w:t>
      </w:r>
    </w:p>
    <w:p w:rsidR="00A3541F" w:rsidRDefault="00A3541F" w:rsidP="00227A3C">
      <w:pPr>
        <w:spacing w:after="0" w:line="240" w:lineRule="auto"/>
        <w:ind w:firstLine="360"/>
        <w:jc w:val="both"/>
        <w:rPr>
          <w:rFonts w:ascii="Times New Roman" w:eastAsia="Times New Roman" w:hAnsi="Times New Roman" w:cs="Times New Roman"/>
          <w:sz w:val="24"/>
          <w:szCs w:val="24"/>
          <w:lang w:val="ro-RO" w:eastAsia="ru-RU"/>
        </w:rPr>
      </w:pPr>
    </w:p>
    <w:p w:rsidR="00A3541F" w:rsidRPr="00227A3C" w:rsidRDefault="00A3541F" w:rsidP="00227A3C">
      <w:pPr>
        <w:spacing w:after="0" w:line="240" w:lineRule="auto"/>
        <w:ind w:firstLine="360"/>
        <w:jc w:val="both"/>
        <w:rPr>
          <w:rFonts w:ascii="Times New Roman" w:eastAsia="Times New Roman" w:hAnsi="Times New Roman" w:cs="Times New Roman"/>
          <w:sz w:val="24"/>
          <w:szCs w:val="24"/>
          <w:lang w:val="ro-RO" w:eastAsia="ru-RU"/>
        </w:rPr>
      </w:pP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p>
    <w:p w:rsidR="00227A3C" w:rsidRPr="00227A3C" w:rsidRDefault="00227A3C" w:rsidP="00227A3C">
      <w:pPr>
        <w:spacing w:after="0" w:line="240" w:lineRule="auto"/>
        <w:ind w:left="360"/>
        <w:jc w:val="center"/>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b/>
          <w:sz w:val="24"/>
          <w:szCs w:val="24"/>
          <w:lang w:val="ro-RO" w:eastAsia="ru-RU"/>
        </w:rPr>
        <w:lastRenderedPageBreak/>
        <w:t>TRANSFERURI ACORDATE IN CADRUL BUGETULUI PUBLIC NAŢIONAL</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Transferurile curente acordate cu destinație speciale între bugetele locale de nivelul II și bugetele locale de nivelul I în cadrul unei unități administrativ teritoriale au fost precizate în sumă de 150,0 mii lei,  executat 150,0 mii lei ce constituie 100,0 % din planul anual precizat, ponderea fiind de 0.1%.</w:t>
      </w:r>
    </w:p>
    <w:p w:rsidR="00227A3C" w:rsidRPr="00227A3C" w:rsidRDefault="00227A3C" w:rsidP="00227A3C">
      <w:pPr>
        <w:spacing w:after="0" w:line="240" w:lineRule="auto"/>
        <w:ind w:left="360"/>
        <w:jc w:val="center"/>
        <w:rPr>
          <w:rFonts w:ascii="Times New Roman" w:eastAsia="Times New Roman" w:hAnsi="Times New Roman" w:cs="Times New Roman"/>
          <w:b/>
          <w:sz w:val="24"/>
          <w:szCs w:val="24"/>
          <w:lang w:val="ro-RO" w:eastAsia="ru-RU"/>
        </w:rPr>
      </w:pPr>
      <w:r w:rsidRPr="00227A3C">
        <w:rPr>
          <w:rFonts w:ascii="Times New Roman" w:eastAsia="Times New Roman" w:hAnsi="Times New Roman" w:cs="Times New Roman"/>
          <w:b/>
          <w:sz w:val="24"/>
          <w:szCs w:val="24"/>
          <w:lang w:val="ro-RO" w:eastAsia="ru-RU"/>
        </w:rPr>
        <w:t>MIJLOACE FIXE</w:t>
      </w:r>
    </w:p>
    <w:p w:rsidR="00227A3C" w:rsidRPr="00227A3C" w:rsidRDefault="00227A3C" w:rsidP="00227A3C">
      <w:pPr>
        <w:tabs>
          <w:tab w:val="left" w:pos="567"/>
        </w:tabs>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Cheltuielile aferente mijloacelor fixe au fost precizate în sumă de 24406,2 mii lei, executat 5665,0 mii lei, executarea constituie 23,2 %.</w:t>
      </w:r>
    </w:p>
    <w:p w:rsidR="00227A3C" w:rsidRPr="00227A3C" w:rsidRDefault="00227A3C" w:rsidP="00227A3C">
      <w:pPr>
        <w:spacing w:after="0" w:line="240" w:lineRule="auto"/>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față de planul anual cu ponderea de 5,4 % din totalul cheltuielilor;</w:t>
      </w:r>
    </w:p>
    <w:p w:rsidR="00227A3C" w:rsidRPr="00227A3C" w:rsidRDefault="00227A3C" w:rsidP="00227A3C">
      <w:pPr>
        <w:spacing w:after="0" w:line="240" w:lineRule="auto"/>
        <w:ind w:left="284"/>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xml:space="preserve">  În categoria dată de cheltuieli sunt incluse</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reparații capitale ale clădirilor fiind precizate-1598,2 mii lei, executat 367,6 mii lei;</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reparații capitale alte construcțiilor speciale precizate in suma de 14280.7 mii lei, executate 240,0 mii lei;</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procurarea mașinilor și a utilajelor precizate -1030,8 mii lei, executat 423,8 mii lei;</w:t>
      </w:r>
    </w:p>
    <w:p w:rsidR="00227A3C" w:rsidRPr="00227A3C" w:rsidRDefault="00227A3C" w:rsidP="00227A3C">
      <w:pPr>
        <w:tabs>
          <w:tab w:val="left" w:pos="567"/>
        </w:tabs>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reparații capitale ale mașinilor si utilajelor precizat - 35,0 mii lei, executat 35,0 mii lei;</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procurarea mijloacelor de transmisie  precizat 200,0 mii lei, executat 100%;</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procurarea uneltelor și sculelor, precizat 752,2 mii lei, executat 199,7 mii lei;</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procurarea altor mijloace fixe precizat 9,0 mii lei, executat 4,5 mii lei;</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clădiri in curs de execuție, precizat -6195,8 mii lei, executat 4228,5 mii lei;</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 instalații de transmisie în curs de execuție precizat 304,5 mii lei, executat 0,9 mii lei.</w:t>
      </w:r>
    </w:p>
    <w:p w:rsidR="00227A3C" w:rsidRPr="00227A3C" w:rsidRDefault="00227A3C" w:rsidP="00227A3C">
      <w:pPr>
        <w:spacing w:after="0" w:line="240" w:lineRule="auto"/>
        <w:ind w:left="360"/>
        <w:jc w:val="both"/>
        <w:rPr>
          <w:rFonts w:ascii="Times New Roman" w:eastAsia="Times New Roman" w:hAnsi="Times New Roman" w:cs="Times New Roman"/>
          <w:sz w:val="24"/>
          <w:szCs w:val="24"/>
          <w:lang w:val="ro-RO" w:eastAsia="ru-RU"/>
        </w:rPr>
      </w:pPr>
    </w:p>
    <w:p w:rsidR="00227A3C" w:rsidRPr="00227A3C" w:rsidRDefault="00227A3C" w:rsidP="00227A3C">
      <w:pPr>
        <w:spacing w:after="0" w:line="240" w:lineRule="auto"/>
        <w:ind w:left="360"/>
        <w:jc w:val="center"/>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b/>
          <w:sz w:val="24"/>
          <w:szCs w:val="24"/>
          <w:lang w:val="ro-RO" w:eastAsia="ru-RU"/>
        </w:rPr>
        <w:t>STOCURI DE MATERIALE CIRCULANTE</w:t>
      </w:r>
    </w:p>
    <w:p w:rsidR="00227A3C" w:rsidRPr="00227A3C" w:rsidRDefault="00227A3C" w:rsidP="00227A3C">
      <w:pPr>
        <w:spacing w:after="0" w:line="240" w:lineRule="auto"/>
        <w:ind w:firstLine="360"/>
        <w:jc w:val="both"/>
        <w:rPr>
          <w:rFonts w:ascii="Times New Roman" w:eastAsia="Times New Roman" w:hAnsi="Times New Roman" w:cs="Times New Roman"/>
          <w:sz w:val="24"/>
          <w:szCs w:val="24"/>
          <w:lang w:val="ro-RO" w:eastAsia="ru-RU"/>
        </w:rPr>
      </w:pPr>
      <w:r w:rsidRPr="00227A3C">
        <w:rPr>
          <w:rFonts w:ascii="Times New Roman" w:eastAsia="Times New Roman" w:hAnsi="Times New Roman" w:cs="Times New Roman"/>
          <w:sz w:val="24"/>
          <w:szCs w:val="24"/>
          <w:lang w:val="ro-RO" w:eastAsia="ru-RU"/>
        </w:rPr>
        <w:t>Stocurile de materiale circulante au fost preconizate prin precizări în mărime de 15751,3 mii lei, executat 4758,8 mii lei, sau 30,2 % față de planul anual, cu ponderea de 4.5% din totalul cheltuielilor.</w:t>
      </w:r>
    </w:p>
    <w:p w:rsidR="00227A3C" w:rsidRPr="00227A3C" w:rsidRDefault="00227A3C" w:rsidP="00227A3C">
      <w:pPr>
        <w:spacing w:after="0" w:line="240" w:lineRule="auto"/>
        <w:ind w:firstLine="360"/>
        <w:jc w:val="both"/>
        <w:rPr>
          <w:rFonts w:ascii="Times New Roman" w:eastAsia="Times New Roman" w:hAnsi="Times New Roman" w:cs="Times New Roman"/>
          <w:sz w:val="16"/>
          <w:szCs w:val="16"/>
          <w:lang w:val="ro-RO" w:eastAsia="ru-RU"/>
        </w:rPr>
      </w:pPr>
      <w:r w:rsidRPr="00227A3C">
        <w:rPr>
          <w:rFonts w:ascii="Times New Roman" w:eastAsia="Times New Roman" w:hAnsi="Times New Roman" w:cs="Times New Roman"/>
          <w:sz w:val="24"/>
          <w:szCs w:val="24"/>
          <w:lang w:val="ro-RO" w:eastAsia="ru-RU"/>
        </w:rPr>
        <w:t>În componența categoriei date de cheltuieli se includ procurarea combustibilului, carburanților și lubrifianților, procurarea pieselor de schimb, procurarea produselor alimentare, procurarea medicamentelor, procurarea materialilor pentru scopuri didactice, procurarea materialilor de uz gospodăresc, procurarea materialilor de construcție, procurarea accesoriilor de pat, îmbrăcăminte.</w:t>
      </w:r>
    </w:p>
    <w:p w:rsidR="00227A3C" w:rsidRPr="00227A3C" w:rsidRDefault="00227A3C" w:rsidP="00227A3C">
      <w:pPr>
        <w:tabs>
          <w:tab w:val="left" w:pos="1130"/>
        </w:tabs>
        <w:spacing w:after="0" w:line="240" w:lineRule="auto"/>
        <w:ind w:firstLine="360"/>
        <w:rPr>
          <w:rFonts w:ascii="Times New Roman" w:eastAsia="Calibri" w:hAnsi="Times New Roman" w:cs="Times New Roman"/>
          <w:sz w:val="24"/>
          <w:lang w:val="ro-RO"/>
        </w:rPr>
      </w:pPr>
    </w:p>
    <w:p w:rsidR="00227A3C" w:rsidRPr="00227A3C" w:rsidRDefault="00227A3C" w:rsidP="00227A3C">
      <w:pPr>
        <w:spacing w:after="0" w:line="240" w:lineRule="auto"/>
        <w:ind w:firstLine="360"/>
        <w:jc w:val="center"/>
        <w:rPr>
          <w:rFonts w:ascii="Times New Roman" w:eastAsia="Calibri" w:hAnsi="Times New Roman" w:cs="Times New Roman"/>
          <w:b/>
          <w:sz w:val="24"/>
          <w:lang w:val="ro-RO"/>
        </w:rPr>
      </w:pPr>
      <w:r w:rsidRPr="00227A3C">
        <w:rPr>
          <w:rFonts w:ascii="Times New Roman" w:eastAsia="Calibri" w:hAnsi="Times New Roman" w:cs="Times New Roman"/>
          <w:b/>
          <w:sz w:val="24"/>
          <w:lang w:val="ro-RO"/>
        </w:rPr>
        <w:t>Obiectivele principale ale Direcției de Finanțe</w:t>
      </w:r>
    </w:p>
    <w:p w:rsidR="00227A3C" w:rsidRPr="00227A3C" w:rsidRDefault="00227A3C" w:rsidP="00227A3C">
      <w:pPr>
        <w:numPr>
          <w:ilvl w:val="0"/>
          <w:numId w:val="6"/>
        </w:numPr>
        <w:tabs>
          <w:tab w:val="left" w:pos="0"/>
        </w:tabs>
        <w:spacing w:after="0" w:line="240" w:lineRule="auto"/>
        <w:ind w:left="0" w:firstLine="709"/>
        <w:contextualSpacing/>
        <w:jc w:val="both"/>
        <w:rPr>
          <w:rFonts w:ascii="Times New Roman" w:eastAsia="Calibri" w:hAnsi="Times New Roman" w:cs="Times New Roman"/>
          <w:sz w:val="24"/>
          <w:lang w:val="ro-RO"/>
        </w:rPr>
      </w:pPr>
      <w:r w:rsidRPr="00227A3C">
        <w:rPr>
          <w:rFonts w:ascii="Times New Roman" w:eastAsia="Calibri" w:hAnsi="Times New Roman" w:cs="Times New Roman"/>
          <w:sz w:val="24"/>
          <w:lang w:val="ro-RO"/>
        </w:rPr>
        <w:t xml:space="preserve">Menținerea tendinței de echilibrare bugetară și neadmiterea formării datoriilor cu termen de achitare exprimat, precum și achitarea datoriilor restante pe măsura acumulării bugetelor financiare la contul bugetului raional. </w:t>
      </w:r>
    </w:p>
    <w:p w:rsidR="00227A3C" w:rsidRPr="00227A3C" w:rsidRDefault="00227A3C" w:rsidP="00227A3C">
      <w:pPr>
        <w:numPr>
          <w:ilvl w:val="0"/>
          <w:numId w:val="6"/>
        </w:numPr>
        <w:tabs>
          <w:tab w:val="left" w:pos="0"/>
        </w:tabs>
        <w:spacing w:after="0" w:line="240" w:lineRule="auto"/>
        <w:ind w:left="0" w:firstLine="709"/>
        <w:contextualSpacing/>
        <w:jc w:val="both"/>
        <w:rPr>
          <w:rFonts w:ascii="Times New Roman" w:eastAsia="Calibri" w:hAnsi="Times New Roman" w:cs="Times New Roman"/>
          <w:sz w:val="24"/>
          <w:lang w:val="ro-RO"/>
        </w:rPr>
      </w:pPr>
      <w:r w:rsidRPr="00227A3C">
        <w:rPr>
          <w:rFonts w:ascii="Times New Roman" w:eastAsia="Calibri" w:hAnsi="Times New Roman" w:cs="Times New Roman"/>
          <w:sz w:val="24"/>
          <w:lang w:val="ro-RO"/>
        </w:rPr>
        <w:t>Controlul privind îndeplinirea prevederilor deciziilor consiliului raional ce țin de executarea bugetului.</w:t>
      </w:r>
    </w:p>
    <w:p w:rsidR="00227A3C" w:rsidRPr="00227A3C" w:rsidRDefault="00227A3C" w:rsidP="00227A3C">
      <w:pPr>
        <w:numPr>
          <w:ilvl w:val="0"/>
          <w:numId w:val="6"/>
        </w:numPr>
        <w:tabs>
          <w:tab w:val="left" w:pos="0"/>
        </w:tabs>
        <w:spacing w:after="0" w:line="240" w:lineRule="auto"/>
        <w:ind w:left="0" w:firstLine="709"/>
        <w:contextualSpacing/>
        <w:jc w:val="both"/>
        <w:rPr>
          <w:rFonts w:ascii="Times New Roman" w:eastAsia="Calibri" w:hAnsi="Times New Roman" w:cs="Times New Roman"/>
          <w:sz w:val="24"/>
          <w:lang w:val="ro-RO"/>
        </w:rPr>
      </w:pPr>
      <w:r w:rsidRPr="00227A3C">
        <w:rPr>
          <w:rFonts w:ascii="Times New Roman" w:eastAsia="Calibri" w:hAnsi="Times New Roman" w:cs="Times New Roman"/>
          <w:sz w:val="24"/>
          <w:lang w:val="ro-RO"/>
        </w:rPr>
        <w:t>Identificarea cauzelor privind admiterea datoriilor și creanțelor. Monitorizarea diminuării acestora pe parcursul anului</w:t>
      </w:r>
    </w:p>
    <w:p w:rsidR="00227A3C" w:rsidRPr="00227A3C" w:rsidRDefault="00227A3C" w:rsidP="00227A3C">
      <w:pPr>
        <w:numPr>
          <w:ilvl w:val="0"/>
          <w:numId w:val="6"/>
        </w:numPr>
        <w:tabs>
          <w:tab w:val="left" w:pos="0"/>
        </w:tabs>
        <w:spacing w:after="0" w:line="240" w:lineRule="auto"/>
        <w:ind w:left="0" w:firstLine="709"/>
        <w:contextualSpacing/>
        <w:jc w:val="both"/>
        <w:rPr>
          <w:rFonts w:ascii="Times New Roman" w:eastAsia="Calibri" w:hAnsi="Times New Roman" w:cs="Times New Roman"/>
          <w:sz w:val="24"/>
          <w:lang w:val="ro-RO"/>
        </w:rPr>
      </w:pPr>
      <w:r w:rsidRPr="00227A3C">
        <w:rPr>
          <w:rFonts w:ascii="Times New Roman" w:eastAsia="Calibri" w:hAnsi="Times New Roman" w:cs="Times New Roman"/>
          <w:sz w:val="24"/>
          <w:lang w:val="ro-RO"/>
        </w:rPr>
        <w:t>Respectarea priorităților la efectuarea cheltuielilor de la bugetul raional.</w:t>
      </w:r>
    </w:p>
    <w:p w:rsidR="00227A3C" w:rsidRPr="00227A3C" w:rsidRDefault="00227A3C" w:rsidP="00227A3C">
      <w:pPr>
        <w:numPr>
          <w:ilvl w:val="0"/>
          <w:numId w:val="6"/>
        </w:numPr>
        <w:tabs>
          <w:tab w:val="left" w:pos="0"/>
        </w:tabs>
        <w:spacing w:after="0" w:line="240" w:lineRule="auto"/>
        <w:ind w:left="0" w:firstLine="709"/>
        <w:contextualSpacing/>
        <w:jc w:val="both"/>
        <w:rPr>
          <w:rFonts w:ascii="Times New Roman" w:eastAsia="Calibri" w:hAnsi="Times New Roman" w:cs="Times New Roman"/>
          <w:sz w:val="24"/>
          <w:lang w:val="ro-RO"/>
        </w:rPr>
      </w:pPr>
      <w:r w:rsidRPr="00227A3C">
        <w:rPr>
          <w:rFonts w:ascii="Times New Roman" w:eastAsia="Calibri" w:hAnsi="Times New Roman" w:cs="Times New Roman"/>
          <w:sz w:val="24"/>
          <w:lang w:val="ro-RO"/>
        </w:rPr>
        <w:t>Luând în considerație că în ultimul tip legislația și actele normative sunt într-o permanentă modificare și scopul sporiri profesionalismului și evitării admiterii încălcării financiar, pentru specialiștii din domeniu, pe parcursul perioadei de raportate se organizează instruiri, consultări pentru monitorizarea executării actelor legislative și normative cu acordarea ajutorului metodologic.</w:t>
      </w:r>
    </w:p>
    <w:p w:rsidR="00227A3C" w:rsidRPr="00227A3C" w:rsidRDefault="00227A3C" w:rsidP="00227A3C">
      <w:pPr>
        <w:tabs>
          <w:tab w:val="left" w:pos="0"/>
        </w:tabs>
        <w:spacing w:after="0" w:line="240" w:lineRule="auto"/>
        <w:ind w:firstLine="709"/>
        <w:contextualSpacing/>
        <w:jc w:val="both"/>
        <w:rPr>
          <w:rFonts w:ascii="Times New Roman" w:eastAsia="Calibri" w:hAnsi="Times New Roman" w:cs="Times New Roman"/>
          <w:b/>
          <w:sz w:val="24"/>
          <w:lang w:val="ro-RO"/>
        </w:rPr>
      </w:pPr>
    </w:p>
    <w:p w:rsidR="00227A3C" w:rsidRPr="00227A3C" w:rsidRDefault="00227A3C" w:rsidP="00227A3C">
      <w:pPr>
        <w:spacing w:after="0" w:line="240" w:lineRule="auto"/>
        <w:rPr>
          <w:rFonts w:ascii="Calibri" w:eastAsia="Calibri" w:hAnsi="Calibri" w:cs="Times New Roman"/>
          <w:sz w:val="24"/>
          <w:lang w:val="ro-RO"/>
        </w:rPr>
      </w:pPr>
    </w:p>
    <w:p w:rsidR="00227A3C" w:rsidRPr="00C032F3" w:rsidRDefault="00227A3C" w:rsidP="00C01F75">
      <w:pPr>
        <w:pStyle w:val="Listparagraf"/>
        <w:spacing w:after="120" w:line="240" w:lineRule="auto"/>
        <w:ind w:left="360"/>
        <w:jc w:val="both"/>
        <w:rPr>
          <w:rFonts w:ascii="Times New Roman" w:hAnsi="Times New Roman" w:cs="Times New Roman"/>
          <w:b/>
          <w:sz w:val="24"/>
          <w:szCs w:val="24"/>
          <w:u w:val="single"/>
          <w:lang w:val="ro-RO"/>
        </w:rPr>
      </w:pPr>
    </w:p>
    <w:sectPr w:rsidR="00227A3C" w:rsidRPr="00C032F3" w:rsidSect="00227A3C">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8E7"/>
    <w:multiLevelType w:val="multilevel"/>
    <w:tmpl w:val="0FB2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55C0B"/>
    <w:multiLevelType w:val="multilevel"/>
    <w:tmpl w:val="C2D05FF4"/>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
    <w:nsid w:val="3E4D5AAE"/>
    <w:multiLevelType w:val="hybridMultilevel"/>
    <w:tmpl w:val="1904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56D5C"/>
    <w:multiLevelType w:val="hybridMultilevel"/>
    <w:tmpl w:val="82AA18FA"/>
    <w:lvl w:ilvl="0" w:tplc="64C42144">
      <w:start w:val="12"/>
      <w:numFmt w:val="bullet"/>
      <w:lvlText w:val="-"/>
      <w:lvlJc w:val="left"/>
      <w:pPr>
        <w:ind w:left="862" w:hanging="360"/>
      </w:pPr>
      <w:rPr>
        <w:rFonts w:ascii="Times New Roman" w:eastAsiaTheme="minorHAnsi" w:hAnsi="Times New Roman" w:cs="Times New Roman" w:hint="default"/>
        <w:b/>
      </w:rPr>
    </w:lvl>
    <w:lvl w:ilvl="1" w:tplc="08180003" w:tentative="1">
      <w:start w:val="1"/>
      <w:numFmt w:val="bullet"/>
      <w:lvlText w:val="o"/>
      <w:lvlJc w:val="left"/>
      <w:pPr>
        <w:ind w:left="1582" w:hanging="360"/>
      </w:pPr>
      <w:rPr>
        <w:rFonts w:ascii="Courier New" w:hAnsi="Courier New" w:cs="Courier New" w:hint="default"/>
      </w:rPr>
    </w:lvl>
    <w:lvl w:ilvl="2" w:tplc="08180005" w:tentative="1">
      <w:start w:val="1"/>
      <w:numFmt w:val="bullet"/>
      <w:lvlText w:val=""/>
      <w:lvlJc w:val="left"/>
      <w:pPr>
        <w:ind w:left="2302" w:hanging="360"/>
      </w:pPr>
      <w:rPr>
        <w:rFonts w:ascii="Wingdings" w:hAnsi="Wingdings" w:hint="default"/>
      </w:rPr>
    </w:lvl>
    <w:lvl w:ilvl="3" w:tplc="08180001" w:tentative="1">
      <w:start w:val="1"/>
      <w:numFmt w:val="bullet"/>
      <w:lvlText w:val=""/>
      <w:lvlJc w:val="left"/>
      <w:pPr>
        <w:ind w:left="3022" w:hanging="360"/>
      </w:pPr>
      <w:rPr>
        <w:rFonts w:ascii="Symbol" w:hAnsi="Symbol" w:hint="default"/>
      </w:rPr>
    </w:lvl>
    <w:lvl w:ilvl="4" w:tplc="08180003" w:tentative="1">
      <w:start w:val="1"/>
      <w:numFmt w:val="bullet"/>
      <w:lvlText w:val="o"/>
      <w:lvlJc w:val="left"/>
      <w:pPr>
        <w:ind w:left="3742" w:hanging="360"/>
      </w:pPr>
      <w:rPr>
        <w:rFonts w:ascii="Courier New" w:hAnsi="Courier New" w:cs="Courier New" w:hint="default"/>
      </w:rPr>
    </w:lvl>
    <w:lvl w:ilvl="5" w:tplc="08180005" w:tentative="1">
      <w:start w:val="1"/>
      <w:numFmt w:val="bullet"/>
      <w:lvlText w:val=""/>
      <w:lvlJc w:val="left"/>
      <w:pPr>
        <w:ind w:left="4462" w:hanging="360"/>
      </w:pPr>
      <w:rPr>
        <w:rFonts w:ascii="Wingdings" w:hAnsi="Wingdings" w:hint="default"/>
      </w:rPr>
    </w:lvl>
    <w:lvl w:ilvl="6" w:tplc="08180001" w:tentative="1">
      <w:start w:val="1"/>
      <w:numFmt w:val="bullet"/>
      <w:lvlText w:val=""/>
      <w:lvlJc w:val="left"/>
      <w:pPr>
        <w:ind w:left="5182" w:hanging="360"/>
      </w:pPr>
      <w:rPr>
        <w:rFonts w:ascii="Symbol" w:hAnsi="Symbol" w:hint="default"/>
      </w:rPr>
    </w:lvl>
    <w:lvl w:ilvl="7" w:tplc="08180003" w:tentative="1">
      <w:start w:val="1"/>
      <w:numFmt w:val="bullet"/>
      <w:lvlText w:val="o"/>
      <w:lvlJc w:val="left"/>
      <w:pPr>
        <w:ind w:left="5902" w:hanging="360"/>
      </w:pPr>
      <w:rPr>
        <w:rFonts w:ascii="Courier New" w:hAnsi="Courier New" w:cs="Courier New" w:hint="default"/>
      </w:rPr>
    </w:lvl>
    <w:lvl w:ilvl="8" w:tplc="08180005" w:tentative="1">
      <w:start w:val="1"/>
      <w:numFmt w:val="bullet"/>
      <w:lvlText w:val=""/>
      <w:lvlJc w:val="left"/>
      <w:pPr>
        <w:ind w:left="6622" w:hanging="360"/>
      </w:pPr>
      <w:rPr>
        <w:rFonts w:ascii="Wingdings" w:hAnsi="Wingdings" w:hint="default"/>
      </w:rPr>
    </w:lvl>
  </w:abstractNum>
  <w:abstractNum w:abstractNumId="4">
    <w:nsid w:val="58C00125"/>
    <w:multiLevelType w:val="hybridMultilevel"/>
    <w:tmpl w:val="A4FAB2A0"/>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nsid w:val="5C9D2D73"/>
    <w:multiLevelType w:val="hybridMultilevel"/>
    <w:tmpl w:val="67A82A0E"/>
    <w:lvl w:ilvl="0" w:tplc="E6B2BDBC">
      <w:start w:val="3"/>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nsid w:val="7A6254EC"/>
    <w:multiLevelType w:val="hybridMultilevel"/>
    <w:tmpl w:val="90C0BB4E"/>
    <w:lvl w:ilvl="0" w:tplc="592071AC">
      <w:start w:val="1"/>
      <w:numFmt w:val="upperRoman"/>
      <w:lvlText w:val="%1."/>
      <w:lvlJc w:val="left"/>
      <w:pPr>
        <w:ind w:left="1713"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427C25"/>
    <w:rsid w:val="00227A3C"/>
    <w:rsid w:val="00273DF5"/>
    <w:rsid w:val="002A3C44"/>
    <w:rsid w:val="00350329"/>
    <w:rsid w:val="00427C25"/>
    <w:rsid w:val="004718EF"/>
    <w:rsid w:val="005C4C18"/>
    <w:rsid w:val="00940A2B"/>
    <w:rsid w:val="00A3541F"/>
    <w:rsid w:val="00A500F2"/>
    <w:rsid w:val="00B31F98"/>
    <w:rsid w:val="00C01F75"/>
    <w:rsid w:val="00D5039B"/>
    <w:rsid w:val="00E15A3C"/>
    <w:rsid w:val="00E15A9D"/>
    <w:rsid w:val="00E5715C"/>
    <w:rsid w:val="00EC755E"/>
    <w:rsid w:val="00FE0F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25"/>
    <w:pPr>
      <w:spacing w:after="200" w:line="276"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27C25"/>
    <w:pPr>
      <w:ind w:left="720"/>
      <w:contextualSpacing/>
    </w:pPr>
  </w:style>
  <w:style w:type="character" w:styleId="Hyperlink">
    <w:name w:val="Hyperlink"/>
    <w:basedOn w:val="Fontdeparagrafimplicit"/>
    <w:uiPriority w:val="99"/>
    <w:unhideWhenUsed/>
    <w:rsid w:val="00427C25"/>
    <w:rPr>
      <w:color w:val="0563C1" w:themeColor="hyperlink"/>
      <w:u w:val="single"/>
    </w:rPr>
  </w:style>
  <w:style w:type="paragraph" w:styleId="Textsimplu">
    <w:name w:val="Plain Text"/>
    <w:basedOn w:val="Normal"/>
    <w:link w:val="TextsimpluCaracter"/>
    <w:rsid w:val="00427C25"/>
    <w:pPr>
      <w:spacing w:after="0" w:line="240" w:lineRule="auto"/>
    </w:pPr>
    <w:rPr>
      <w:rFonts w:ascii="Courier New" w:eastAsia="Times New Roman" w:hAnsi="Courier New" w:cs="Times New Roman"/>
      <w:sz w:val="20"/>
      <w:szCs w:val="20"/>
      <w:lang w:val="ru-RU" w:eastAsia="ru-RU"/>
    </w:rPr>
  </w:style>
  <w:style w:type="character" w:customStyle="1" w:styleId="TextsimpluCaracter">
    <w:name w:val="Text simplu Caracter"/>
    <w:basedOn w:val="Fontdeparagrafimplicit"/>
    <w:link w:val="Textsimplu"/>
    <w:rsid w:val="00427C25"/>
    <w:rPr>
      <w:rFonts w:ascii="Courier New" w:eastAsia="Times New Roman" w:hAnsi="Courier New" w:cs="Times New Roman"/>
      <w:sz w:val="20"/>
      <w:szCs w:val="20"/>
      <w:lang w:eastAsia="ru-RU"/>
    </w:rPr>
  </w:style>
  <w:style w:type="paragraph" w:styleId="TextnBalon">
    <w:name w:val="Balloon Text"/>
    <w:basedOn w:val="Normal"/>
    <w:link w:val="TextnBalonCaracter"/>
    <w:uiPriority w:val="99"/>
    <w:semiHidden/>
    <w:unhideWhenUsed/>
    <w:rsid w:val="00427C2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27C25"/>
    <w:rPr>
      <w:rFonts w:ascii="Segoe UI" w:hAnsi="Segoe UI" w:cs="Segoe UI"/>
      <w:sz w:val="18"/>
      <w:szCs w:val="18"/>
      <w:lang w:val="en-US"/>
    </w:rPr>
  </w:style>
  <w:style w:type="table" w:customStyle="1" w:styleId="GrilTabel1">
    <w:name w:val="Grilă Tabel1"/>
    <w:basedOn w:val="TabelNormal"/>
    <w:next w:val="GrilTabel"/>
    <w:uiPriority w:val="59"/>
    <w:rsid w:val="00227A3C"/>
    <w:pPr>
      <w:spacing w:after="0" w:line="240" w:lineRule="auto"/>
    </w:pPr>
    <w:rPr>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Tabel">
    <w:name w:val="Table Grid"/>
    <w:basedOn w:val="TabelNormal"/>
    <w:uiPriority w:val="39"/>
    <w:rsid w:val="00227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1335">
      <w:bodyDiv w:val="1"/>
      <w:marLeft w:val="0"/>
      <w:marRight w:val="0"/>
      <w:marTop w:val="0"/>
      <w:marBottom w:val="0"/>
      <w:divBdr>
        <w:top w:val="none" w:sz="0" w:space="0" w:color="auto"/>
        <w:left w:val="none" w:sz="0" w:space="0" w:color="auto"/>
        <w:bottom w:val="none" w:sz="0" w:space="0" w:color="auto"/>
        <w:right w:val="none" w:sz="0" w:space="0" w:color="auto"/>
      </w:divBdr>
    </w:div>
    <w:div w:id="18969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consiliul@telenesti.m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PERSONAL%20NU%20STERGETI\Downloads\R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o-RO"/>
              <a:t>Cota parte a executării bugetului pentru fiecare funcție în parte</a:t>
            </a:r>
            <a:endParaRPr lang="en-US"/>
          </a:p>
        </c:rich>
      </c:tx>
      <c:layout>
        <c:manualLayout>
          <c:xMode val="edge"/>
          <c:yMode val="edge"/>
          <c:x val="0.11543931606619912"/>
          <c:y val="2.8751123090745734E-2"/>
        </c:manualLayout>
      </c:layout>
      <c:overlay val="0"/>
    </c:title>
    <c:autoTitleDeleted val="0"/>
    <c:plotArea>
      <c:layout/>
      <c:pieChart>
        <c:varyColors val="1"/>
        <c:ser>
          <c:idx val="0"/>
          <c:order val="0"/>
          <c:tx>
            <c:strRef>
              <c:f>Foaie1!$A$2</c:f>
              <c:strCache>
                <c:ptCount val="1"/>
                <c:pt idx="0">
                  <c:v>100 % pondere</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Foaie1!$B$1:$I$1</c:f>
              <c:strCache>
                <c:ptCount val="8"/>
                <c:pt idx="0">
                  <c:v>Servicii de stat cu destinație generală</c:v>
                </c:pt>
                <c:pt idx="1">
                  <c:v>Apărarea națională</c:v>
                </c:pt>
                <c:pt idx="2">
                  <c:v>Ordinea publică și securitatea națională</c:v>
                </c:pt>
                <c:pt idx="3">
                  <c:v>Servicii în domeniul economiei</c:v>
                </c:pt>
                <c:pt idx="4">
                  <c:v>Ocrotirea sănătății</c:v>
                </c:pt>
                <c:pt idx="5">
                  <c:v>Cultură, sport, tineret si odihna</c:v>
                </c:pt>
                <c:pt idx="6">
                  <c:v>Învățământ</c:v>
                </c:pt>
                <c:pt idx="7">
                  <c:v>Protecție socială</c:v>
                </c:pt>
              </c:strCache>
            </c:strRef>
          </c:cat>
          <c:val>
            <c:numRef>
              <c:f>Foaie1!$B$2:$I$2</c:f>
              <c:numCache>
                <c:formatCode>0.0%</c:formatCode>
                <c:ptCount val="8"/>
                <c:pt idx="0">
                  <c:v>3.3000000000000002E-2</c:v>
                </c:pt>
                <c:pt idx="1">
                  <c:v>1.0000000000000005E-3</c:v>
                </c:pt>
                <c:pt idx="2">
                  <c:v>1.0999999999999998E-2</c:v>
                </c:pt>
                <c:pt idx="3">
                  <c:v>1.2999999999999998E-2</c:v>
                </c:pt>
                <c:pt idx="4">
                  <c:v>4.2000000000000016E-2</c:v>
                </c:pt>
                <c:pt idx="5">
                  <c:v>4.3000000000000003E-2</c:v>
                </c:pt>
                <c:pt idx="6">
                  <c:v>0.8540000000000002</c:v>
                </c:pt>
                <c:pt idx="7">
                  <c:v>4.0000000000000018E-3</c:v>
                </c:pt>
              </c:numCache>
            </c:numRef>
          </c:val>
          <c:extLst xmlns:c16r2="http://schemas.microsoft.com/office/drawing/2015/06/chart">
            <c:ext xmlns:c16="http://schemas.microsoft.com/office/drawing/2014/chart" uri="{C3380CC4-5D6E-409C-BE32-E72D297353CC}">
              <c16:uniqueId val="{00000000-E51C-42EC-8F1F-2BCAEC6BE25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2934670439481275"/>
          <c:y val="0.24145811391410471"/>
          <c:w val="0.25425817315411658"/>
          <c:h val="0.70445107578113242"/>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54</TotalTime>
  <Pages>6</Pages>
  <Words>2794</Words>
  <Characters>16210</Characters>
  <Application>Microsoft Office Word</Application>
  <DocSecurity>0</DocSecurity>
  <Lines>135</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Darii</dc:creator>
  <cp:keywords/>
  <dc:description/>
  <cp:lastModifiedBy>Utilizator Windows</cp:lastModifiedBy>
  <cp:revision>38</cp:revision>
  <cp:lastPrinted>2025-07-25T06:59:00Z</cp:lastPrinted>
  <dcterms:created xsi:type="dcterms:W3CDTF">2024-07-31T12:21:00Z</dcterms:created>
  <dcterms:modified xsi:type="dcterms:W3CDTF">2025-07-25T07:08:00Z</dcterms:modified>
</cp:coreProperties>
</file>